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53232" w14:textId="77777777" w:rsidR="0096146C" w:rsidRDefault="0096146C" w:rsidP="0096146C">
      <w:pPr>
        <w:snapToGrid w:val="0"/>
        <w:spacing w:line="580" w:lineRule="atLeast"/>
        <w:jc w:val="center"/>
        <w:rPr>
          <w:rFonts w:ascii="方正小标宋_GBK" w:eastAsia="方正小标宋_GBK" w:hint="eastAsia"/>
          <w:sz w:val="44"/>
          <w:szCs w:val="44"/>
        </w:rPr>
      </w:pPr>
      <w:r>
        <w:rPr>
          <w:rFonts w:ascii="方正小标宋_GBK" w:eastAsia="方正小标宋_GBK" w:hint="eastAsia"/>
          <w:sz w:val="44"/>
          <w:szCs w:val="44"/>
        </w:rPr>
        <w:t>山东省资产评估协会</w:t>
      </w:r>
    </w:p>
    <w:p w14:paraId="243368FB" w14:textId="77777777" w:rsidR="0096146C" w:rsidRDefault="0096146C" w:rsidP="0096146C">
      <w:pPr>
        <w:snapToGrid w:val="0"/>
        <w:spacing w:line="580" w:lineRule="atLeast"/>
        <w:jc w:val="center"/>
        <w:rPr>
          <w:rFonts w:ascii="方正小标宋_GBK" w:eastAsia="方正小标宋_GBK" w:hint="eastAsia"/>
          <w:sz w:val="44"/>
          <w:szCs w:val="44"/>
        </w:rPr>
      </w:pPr>
      <w:r>
        <w:rPr>
          <w:rFonts w:ascii="方正小标宋_GBK" w:eastAsia="方正小标宋_GBK" w:hint="eastAsia"/>
          <w:sz w:val="44"/>
          <w:szCs w:val="44"/>
        </w:rPr>
        <w:t>执业会员继续教育管理办法</w:t>
      </w:r>
    </w:p>
    <w:p w14:paraId="634F1D3A" w14:textId="77777777" w:rsidR="0096146C" w:rsidRDefault="0096146C" w:rsidP="0096146C">
      <w:pPr>
        <w:snapToGrid w:val="0"/>
        <w:spacing w:line="580" w:lineRule="atLeast"/>
        <w:rPr>
          <w:rFonts w:ascii="仿宋_GB2312" w:eastAsia="仿宋_GB2312" w:hint="eastAsia"/>
          <w:sz w:val="32"/>
          <w:szCs w:val="32"/>
        </w:rPr>
      </w:pPr>
    </w:p>
    <w:p w14:paraId="6D21352D" w14:textId="77777777" w:rsidR="0096146C" w:rsidRDefault="0096146C" w:rsidP="0096146C">
      <w:pPr>
        <w:snapToGrid w:val="0"/>
        <w:spacing w:line="580" w:lineRule="atLeast"/>
        <w:jc w:val="center"/>
        <w:rPr>
          <w:rFonts w:ascii="黑体" w:eastAsia="黑体" w:hAnsi="黑体" w:hint="eastAsia"/>
          <w:sz w:val="32"/>
          <w:szCs w:val="32"/>
        </w:rPr>
      </w:pPr>
      <w:r>
        <w:rPr>
          <w:rFonts w:ascii="黑体" w:eastAsia="黑体" w:hAnsi="黑体" w:hint="eastAsia"/>
          <w:sz w:val="32"/>
          <w:szCs w:val="32"/>
        </w:rPr>
        <w:t>第一章 总则</w:t>
      </w:r>
    </w:p>
    <w:p w14:paraId="2E01E9E6" w14:textId="77777777" w:rsidR="0096146C" w:rsidRDefault="0096146C" w:rsidP="0096146C">
      <w:pPr>
        <w:snapToGrid w:val="0"/>
        <w:spacing w:line="580" w:lineRule="atLeast"/>
        <w:ind w:firstLineChars="200" w:firstLine="643"/>
        <w:rPr>
          <w:rFonts w:ascii="仿宋_GB2312" w:eastAsia="仿宋_GB2312" w:hint="eastAsia"/>
          <w:sz w:val="32"/>
          <w:szCs w:val="32"/>
        </w:rPr>
      </w:pPr>
      <w:r>
        <w:rPr>
          <w:rFonts w:ascii="仿宋_GB2312" w:eastAsia="仿宋_GB2312" w:hint="eastAsia"/>
          <w:b/>
          <w:bCs/>
          <w:sz w:val="32"/>
          <w:szCs w:val="32"/>
        </w:rPr>
        <w:t>第一条</w:t>
      </w:r>
      <w:r>
        <w:rPr>
          <w:rFonts w:ascii="仿宋_GB2312" w:eastAsia="仿宋_GB2312" w:hint="eastAsia"/>
          <w:sz w:val="32"/>
          <w:szCs w:val="32"/>
        </w:rPr>
        <w:t xml:space="preserve"> 为规范山东省资产评估协会执业会员继续教育工作，不断提升执业会员的专业素质、执业能力和职业道德水平，根据《中华人民共和国资产评估法》《中国资产评估协会执业会员继续教育管理办法》和《山东省资产评估协会章程》等规定，制定本办法。</w:t>
      </w:r>
    </w:p>
    <w:p w14:paraId="1A76DB6C" w14:textId="77777777" w:rsidR="0096146C" w:rsidRDefault="0096146C" w:rsidP="0096146C">
      <w:pPr>
        <w:snapToGrid w:val="0"/>
        <w:spacing w:line="580" w:lineRule="atLeast"/>
        <w:ind w:firstLineChars="200" w:firstLine="643"/>
        <w:rPr>
          <w:rFonts w:ascii="仿宋_GB2312" w:eastAsia="仿宋_GB2312" w:hint="eastAsia"/>
          <w:sz w:val="32"/>
          <w:szCs w:val="32"/>
        </w:rPr>
      </w:pPr>
      <w:r>
        <w:rPr>
          <w:rFonts w:ascii="仿宋_GB2312" w:eastAsia="仿宋_GB2312" w:hint="eastAsia"/>
          <w:b/>
          <w:bCs/>
          <w:sz w:val="32"/>
          <w:szCs w:val="32"/>
        </w:rPr>
        <w:t>第二条</w:t>
      </w:r>
      <w:r>
        <w:rPr>
          <w:rFonts w:ascii="仿宋_GB2312" w:eastAsia="仿宋_GB2312" w:hint="eastAsia"/>
          <w:sz w:val="32"/>
          <w:szCs w:val="32"/>
        </w:rPr>
        <w:t xml:space="preserve"> 本办法适用于在山东省资产评估协会（以下简称“省评协”）登记管理的资产评估机构和执业会员（执业会员包括正式执业会员和见习执业会员）。</w:t>
      </w:r>
    </w:p>
    <w:p w14:paraId="5CCC80EB" w14:textId="77777777" w:rsidR="0096146C" w:rsidRDefault="0096146C" w:rsidP="0096146C">
      <w:pPr>
        <w:snapToGrid w:val="0"/>
        <w:spacing w:line="580" w:lineRule="atLeast"/>
        <w:ind w:firstLineChars="200" w:firstLine="643"/>
        <w:rPr>
          <w:rFonts w:ascii="仿宋_GB2312" w:eastAsia="仿宋_GB2312" w:hint="eastAsia"/>
          <w:sz w:val="32"/>
          <w:szCs w:val="32"/>
        </w:rPr>
      </w:pPr>
      <w:r>
        <w:rPr>
          <w:rFonts w:ascii="仿宋_GB2312" w:eastAsia="仿宋_GB2312" w:hint="eastAsia"/>
          <w:b/>
          <w:bCs/>
          <w:sz w:val="32"/>
          <w:szCs w:val="32"/>
        </w:rPr>
        <w:t>第三条</w:t>
      </w:r>
      <w:r>
        <w:rPr>
          <w:rFonts w:ascii="仿宋_GB2312" w:eastAsia="仿宋_GB2312" w:hint="eastAsia"/>
          <w:sz w:val="32"/>
          <w:szCs w:val="32"/>
        </w:rPr>
        <w:t xml:space="preserve"> 执业会员享有继续教育的权利和履行继续教育的义务。执业会员应当接受继续教育。</w:t>
      </w:r>
    </w:p>
    <w:p w14:paraId="2C7AAA8A"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 xml:space="preserve">资产评估机构应当保障本机构执业会员参加继续教育的权利。 </w:t>
      </w:r>
    </w:p>
    <w:p w14:paraId="78ED2A93" w14:textId="77777777" w:rsidR="0096146C" w:rsidRDefault="0096146C" w:rsidP="0096146C">
      <w:pPr>
        <w:snapToGrid w:val="0"/>
        <w:spacing w:line="580" w:lineRule="atLeast"/>
        <w:ind w:firstLineChars="200" w:firstLine="643"/>
        <w:rPr>
          <w:rFonts w:ascii="仿宋_GB2312" w:eastAsia="仿宋_GB2312" w:hint="eastAsia"/>
          <w:sz w:val="32"/>
          <w:szCs w:val="32"/>
        </w:rPr>
      </w:pPr>
      <w:r>
        <w:rPr>
          <w:rFonts w:ascii="仿宋_GB2312" w:eastAsia="仿宋_GB2312" w:hint="eastAsia"/>
          <w:b/>
          <w:bCs/>
          <w:sz w:val="32"/>
          <w:szCs w:val="32"/>
        </w:rPr>
        <w:t>第四条</w:t>
      </w:r>
      <w:r>
        <w:rPr>
          <w:rFonts w:ascii="仿宋_GB2312" w:eastAsia="仿宋_GB2312" w:hint="eastAsia"/>
          <w:sz w:val="32"/>
          <w:szCs w:val="32"/>
        </w:rPr>
        <w:t xml:space="preserve"> 执业会员继续教育坚持“分层、分级、分模块”的培训理念，坚持线上、线下多种形式相结合的培训模式。</w:t>
      </w:r>
    </w:p>
    <w:p w14:paraId="3D873D51" w14:textId="77777777" w:rsidR="0096146C" w:rsidRDefault="0096146C" w:rsidP="0096146C">
      <w:pPr>
        <w:snapToGrid w:val="0"/>
        <w:spacing w:line="580" w:lineRule="atLeast"/>
        <w:jc w:val="center"/>
        <w:rPr>
          <w:rFonts w:ascii="黑体" w:eastAsia="黑体" w:hAnsi="黑体" w:hint="eastAsia"/>
          <w:sz w:val="32"/>
          <w:szCs w:val="32"/>
        </w:rPr>
      </w:pPr>
      <w:r>
        <w:rPr>
          <w:rFonts w:ascii="黑体" w:eastAsia="黑体" w:hAnsi="黑体" w:hint="eastAsia"/>
          <w:sz w:val="32"/>
          <w:szCs w:val="32"/>
        </w:rPr>
        <w:t>第二章 继续教育的组织管理</w:t>
      </w:r>
    </w:p>
    <w:p w14:paraId="08482645" w14:textId="77777777" w:rsidR="0096146C" w:rsidRDefault="0096146C" w:rsidP="0096146C">
      <w:pPr>
        <w:snapToGrid w:val="0"/>
        <w:spacing w:line="580" w:lineRule="atLeast"/>
        <w:ind w:firstLineChars="200" w:firstLine="643"/>
        <w:rPr>
          <w:rFonts w:ascii="仿宋_GB2312" w:eastAsia="仿宋_GB2312" w:hint="eastAsia"/>
          <w:sz w:val="32"/>
          <w:szCs w:val="32"/>
        </w:rPr>
      </w:pPr>
      <w:r>
        <w:rPr>
          <w:rFonts w:ascii="仿宋_GB2312" w:eastAsia="仿宋_GB2312" w:hint="eastAsia"/>
          <w:b/>
          <w:bCs/>
          <w:sz w:val="32"/>
          <w:szCs w:val="32"/>
        </w:rPr>
        <w:t>第五条</w:t>
      </w:r>
      <w:r>
        <w:rPr>
          <w:rFonts w:ascii="仿宋_GB2312" w:eastAsia="仿宋_GB2312" w:hint="eastAsia"/>
          <w:sz w:val="32"/>
          <w:szCs w:val="32"/>
        </w:rPr>
        <w:t xml:space="preserve"> 省评</w:t>
      </w:r>
      <w:proofErr w:type="gramStart"/>
      <w:r>
        <w:rPr>
          <w:rFonts w:ascii="仿宋_GB2312" w:eastAsia="仿宋_GB2312" w:hint="eastAsia"/>
          <w:sz w:val="32"/>
          <w:szCs w:val="32"/>
        </w:rPr>
        <w:t>协负责</w:t>
      </w:r>
      <w:proofErr w:type="gramEnd"/>
      <w:r>
        <w:rPr>
          <w:rFonts w:ascii="仿宋_GB2312" w:eastAsia="仿宋_GB2312" w:hint="eastAsia"/>
          <w:sz w:val="32"/>
          <w:szCs w:val="32"/>
        </w:rPr>
        <w:t>本省区域内执业会员继续教育的组织管理工作。具体包括：</w:t>
      </w:r>
    </w:p>
    <w:p w14:paraId="52F0D060"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（一）研究制定本省执业会员继续教育管理办法；</w:t>
      </w:r>
    </w:p>
    <w:p w14:paraId="7B76CC43"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（二）制定并组织实施本省执业会员继续教育年度计划；</w:t>
      </w:r>
    </w:p>
    <w:p w14:paraId="17871AEE"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lastRenderedPageBreak/>
        <w:t>（三）组织编写本省执业会员继续教育培训有关材料；</w:t>
      </w:r>
    </w:p>
    <w:p w14:paraId="3520E837"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（四）组织本省执业会员参加中国资产评估协会（以下简称“中评协”）组织或</w:t>
      </w:r>
      <w:proofErr w:type="gramStart"/>
      <w:r>
        <w:rPr>
          <w:rFonts w:ascii="仿宋_GB2312" w:eastAsia="仿宋_GB2312" w:hint="eastAsia"/>
          <w:sz w:val="32"/>
          <w:szCs w:val="32"/>
        </w:rPr>
        <w:t>中评协委托</w:t>
      </w:r>
      <w:proofErr w:type="gramEnd"/>
      <w:r>
        <w:rPr>
          <w:rFonts w:ascii="仿宋_GB2312" w:eastAsia="仿宋_GB2312" w:hint="eastAsia"/>
          <w:sz w:val="32"/>
          <w:szCs w:val="32"/>
        </w:rPr>
        <w:t>组织的继续教育培训；</w:t>
      </w:r>
    </w:p>
    <w:p w14:paraId="4A7951F5"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（五）审核认定本省资产评估机构内部培训资格，并报中评协备案；</w:t>
      </w:r>
    </w:p>
    <w:p w14:paraId="2B4A04E3"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（六）指导、评价本省资产评估机构内部培训工作。</w:t>
      </w:r>
    </w:p>
    <w:p w14:paraId="51AA4CFC" w14:textId="77777777" w:rsidR="0096146C" w:rsidRDefault="0096146C" w:rsidP="0096146C">
      <w:pPr>
        <w:snapToGrid w:val="0"/>
        <w:spacing w:line="580" w:lineRule="atLeast"/>
        <w:ind w:firstLineChars="200" w:firstLine="643"/>
        <w:rPr>
          <w:rFonts w:ascii="仿宋_GB2312" w:eastAsia="仿宋_GB2312" w:hint="eastAsia"/>
          <w:sz w:val="32"/>
          <w:szCs w:val="32"/>
        </w:rPr>
      </w:pPr>
      <w:r>
        <w:rPr>
          <w:rFonts w:ascii="仿宋_GB2312" w:eastAsia="仿宋_GB2312" w:hint="eastAsia"/>
          <w:b/>
          <w:bCs/>
          <w:sz w:val="32"/>
          <w:szCs w:val="32"/>
        </w:rPr>
        <w:t>第六条</w:t>
      </w:r>
      <w:r>
        <w:rPr>
          <w:rFonts w:ascii="仿宋_GB2312" w:eastAsia="仿宋_GB2312" w:hint="eastAsia"/>
          <w:sz w:val="32"/>
          <w:szCs w:val="32"/>
        </w:rPr>
        <w:t xml:space="preserve"> 资产评估机构负责组织和督促本机构执业会员接受继续教育，并提供必要的学习条件和经费保障。</w:t>
      </w:r>
    </w:p>
    <w:p w14:paraId="0D583531" w14:textId="77777777" w:rsidR="0096146C" w:rsidRDefault="0096146C" w:rsidP="0096146C">
      <w:pPr>
        <w:snapToGrid w:val="0"/>
        <w:spacing w:line="580" w:lineRule="atLeast"/>
        <w:ind w:firstLineChars="200" w:firstLine="643"/>
        <w:rPr>
          <w:rFonts w:ascii="仿宋_GB2312" w:eastAsia="仿宋_GB2312" w:hint="eastAsia"/>
          <w:sz w:val="32"/>
          <w:szCs w:val="32"/>
        </w:rPr>
      </w:pPr>
      <w:r>
        <w:rPr>
          <w:rFonts w:ascii="仿宋_GB2312" w:eastAsia="仿宋_GB2312" w:hint="eastAsia"/>
          <w:b/>
          <w:bCs/>
          <w:sz w:val="32"/>
          <w:szCs w:val="32"/>
        </w:rPr>
        <w:t>第七条</w:t>
      </w:r>
      <w:r>
        <w:rPr>
          <w:rFonts w:ascii="仿宋_GB2312" w:eastAsia="仿宋_GB2312" w:hint="eastAsia"/>
          <w:sz w:val="32"/>
          <w:szCs w:val="32"/>
        </w:rPr>
        <w:t xml:space="preserve"> 资产评估机构（含分支机构）具备以下条件，年度内可以向省评协申请内部培训资格。</w:t>
      </w:r>
    </w:p>
    <w:p w14:paraId="0BFD63E2"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（一）机构自主培训：</w:t>
      </w:r>
    </w:p>
    <w:p w14:paraId="12ED88BB"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Times New Roman" w:eastAsia="仿宋_GB2312" w:hAnsi="Times New Roman" w:cs="Times New Roman"/>
          <w:sz w:val="32"/>
          <w:szCs w:val="32"/>
        </w:rPr>
        <w:t>1</w:t>
      </w:r>
      <w:r>
        <w:rPr>
          <w:rFonts w:ascii="仿宋_GB2312" w:eastAsia="仿宋_GB2312" w:hint="eastAsia"/>
          <w:sz w:val="32"/>
          <w:szCs w:val="32"/>
        </w:rPr>
        <w:t>.至少拥有</w:t>
      </w:r>
      <w:r>
        <w:rPr>
          <w:rFonts w:ascii="Times New Roman" w:eastAsia="仿宋_GB2312" w:hAnsi="Times New Roman" w:cs="Times New Roman" w:hint="eastAsia"/>
          <w:sz w:val="32"/>
          <w:szCs w:val="32"/>
        </w:rPr>
        <w:t>30</w:t>
      </w:r>
      <w:r>
        <w:rPr>
          <w:rFonts w:ascii="仿宋_GB2312" w:eastAsia="仿宋_GB2312" w:hint="eastAsia"/>
          <w:sz w:val="32"/>
          <w:szCs w:val="32"/>
        </w:rPr>
        <w:t>名执业会员；</w:t>
      </w:r>
    </w:p>
    <w:p w14:paraId="3DA3272E"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Times New Roman" w:eastAsia="仿宋_GB2312" w:hAnsi="Times New Roman" w:cs="Times New Roman" w:hint="eastAsia"/>
          <w:sz w:val="32"/>
          <w:szCs w:val="32"/>
        </w:rPr>
        <w:t>2</w:t>
      </w:r>
      <w:r>
        <w:rPr>
          <w:rFonts w:ascii="仿宋_GB2312" w:eastAsia="仿宋_GB2312" w:hint="eastAsia"/>
          <w:sz w:val="32"/>
          <w:szCs w:val="32"/>
        </w:rPr>
        <w:t>.年评估业务收入至少</w:t>
      </w:r>
      <w:r>
        <w:rPr>
          <w:rFonts w:ascii="Times New Roman" w:eastAsia="仿宋_GB2312" w:hAnsi="Times New Roman" w:cs="Times New Roman" w:hint="eastAsia"/>
          <w:sz w:val="32"/>
          <w:szCs w:val="32"/>
        </w:rPr>
        <w:t>1000</w:t>
      </w:r>
      <w:r>
        <w:rPr>
          <w:rFonts w:ascii="仿宋_GB2312" w:eastAsia="仿宋_GB2312" w:hint="eastAsia"/>
          <w:sz w:val="32"/>
          <w:szCs w:val="32"/>
        </w:rPr>
        <w:t>万元；</w:t>
      </w:r>
    </w:p>
    <w:p w14:paraId="3722E0DC"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Times New Roman" w:eastAsia="仿宋_GB2312" w:hAnsi="Times New Roman" w:cs="Times New Roman" w:hint="eastAsia"/>
          <w:sz w:val="32"/>
          <w:szCs w:val="32"/>
        </w:rPr>
        <w:t>3</w:t>
      </w:r>
      <w:r>
        <w:rPr>
          <w:rFonts w:ascii="仿宋_GB2312" w:eastAsia="仿宋_GB2312" w:hint="eastAsia"/>
          <w:sz w:val="32"/>
          <w:szCs w:val="32"/>
        </w:rPr>
        <w:t>.具有健全的内部培训制度和科学的培训计划；</w:t>
      </w:r>
    </w:p>
    <w:p w14:paraId="501926E5"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Times New Roman" w:eastAsia="仿宋_GB2312" w:hAnsi="Times New Roman" w:cs="Times New Roman" w:hint="eastAsia"/>
          <w:sz w:val="32"/>
          <w:szCs w:val="32"/>
        </w:rPr>
        <w:t>4</w:t>
      </w:r>
      <w:r>
        <w:rPr>
          <w:rFonts w:ascii="仿宋_GB2312" w:eastAsia="仿宋_GB2312" w:hint="eastAsia"/>
          <w:sz w:val="32"/>
          <w:szCs w:val="32"/>
        </w:rPr>
        <w:t>.能够提供符合培训要求的师资、场地和设施；</w:t>
      </w:r>
    </w:p>
    <w:p w14:paraId="6FF60A43"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Times New Roman" w:eastAsia="仿宋_GB2312" w:hAnsi="Times New Roman" w:cs="Times New Roman" w:hint="eastAsia"/>
          <w:sz w:val="32"/>
          <w:szCs w:val="32"/>
        </w:rPr>
        <w:t>5</w:t>
      </w:r>
      <w:r>
        <w:rPr>
          <w:rFonts w:ascii="仿宋_GB2312" w:eastAsia="仿宋_GB2312" w:hint="eastAsia"/>
          <w:sz w:val="32"/>
          <w:szCs w:val="32"/>
        </w:rPr>
        <w:t>.课程设置符合专业胜任能力培养和职业道德教育要求。</w:t>
      </w:r>
    </w:p>
    <w:p w14:paraId="4CF49BD5"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（二）跨省在我省设立的分支机构参加总公司自主培训：</w:t>
      </w:r>
    </w:p>
    <w:p w14:paraId="5F0B1F02"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Times New Roman" w:eastAsia="仿宋_GB2312" w:hAnsi="Times New Roman" w:cs="Times New Roman" w:hint="eastAsia"/>
          <w:sz w:val="32"/>
          <w:szCs w:val="32"/>
        </w:rPr>
        <w:t>1</w:t>
      </w:r>
      <w:r>
        <w:rPr>
          <w:rFonts w:ascii="仿宋_GB2312" w:eastAsia="仿宋_GB2312" w:hint="eastAsia"/>
          <w:sz w:val="32"/>
          <w:szCs w:val="32"/>
        </w:rPr>
        <w:t>.总公司具有内部培训资格；</w:t>
      </w:r>
    </w:p>
    <w:p w14:paraId="48B16764"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Times New Roman" w:eastAsia="仿宋_GB2312" w:hAnsi="Times New Roman" w:cs="Times New Roman" w:hint="eastAsia"/>
          <w:sz w:val="32"/>
          <w:szCs w:val="32"/>
        </w:rPr>
        <w:t>2</w:t>
      </w:r>
      <w:r>
        <w:rPr>
          <w:rFonts w:ascii="仿宋_GB2312" w:eastAsia="仿宋_GB2312" w:hint="eastAsia"/>
          <w:sz w:val="32"/>
          <w:szCs w:val="32"/>
        </w:rPr>
        <w:t>.总公司的培训计划涵盖并落实到省内分支机构。</w:t>
      </w:r>
    </w:p>
    <w:p w14:paraId="58D85519"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（三）机构联合申请自主培训：</w:t>
      </w:r>
    </w:p>
    <w:p w14:paraId="7E457DE4"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Times New Roman" w:eastAsia="仿宋_GB2312" w:hAnsi="Times New Roman" w:cs="Times New Roman" w:hint="eastAsia"/>
          <w:sz w:val="32"/>
          <w:szCs w:val="32"/>
        </w:rPr>
        <w:t>1</w:t>
      </w:r>
      <w:r>
        <w:rPr>
          <w:rFonts w:ascii="仿宋_GB2312" w:eastAsia="仿宋_GB2312" w:hint="eastAsia"/>
          <w:sz w:val="32"/>
          <w:szCs w:val="32"/>
        </w:rPr>
        <w:t>.申请的各个机构本着自愿原则联合申请；</w:t>
      </w:r>
    </w:p>
    <w:p w14:paraId="4AFB7D8D"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Times New Roman" w:eastAsia="仿宋_GB2312" w:hAnsi="Times New Roman" w:cs="Times New Roman" w:hint="eastAsia"/>
          <w:sz w:val="32"/>
          <w:szCs w:val="32"/>
        </w:rPr>
        <w:t>2</w:t>
      </w:r>
      <w:r>
        <w:rPr>
          <w:rFonts w:ascii="仿宋_GB2312" w:eastAsia="仿宋_GB2312" w:hint="eastAsia"/>
          <w:sz w:val="32"/>
          <w:szCs w:val="32"/>
        </w:rPr>
        <w:t>.发起机构年评估业务收入至少</w:t>
      </w:r>
      <w:r>
        <w:rPr>
          <w:rFonts w:ascii="Times New Roman" w:eastAsia="仿宋_GB2312" w:hAnsi="Times New Roman" w:cs="Times New Roman" w:hint="eastAsia"/>
          <w:sz w:val="32"/>
          <w:szCs w:val="32"/>
        </w:rPr>
        <w:t>1000</w:t>
      </w:r>
      <w:r>
        <w:rPr>
          <w:rFonts w:ascii="仿宋_GB2312" w:eastAsia="仿宋_GB2312" w:hint="eastAsia"/>
          <w:sz w:val="32"/>
          <w:szCs w:val="32"/>
        </w:rPr>
        <w:t>万元；</w:t>
      </w:r>
    </w:p>
    <w:p w14:paraId="2D0C6F74"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Times New Roman" w:eastAsia="仿宋_GB2312" w:hAnsi="Times New Roman" w:cs="Times New Roman" w:hint="eastAsia"/>
          <w:sz w:val="32"/>
          <w:szCs w:val="32"/>
        </w:rPr>
        <w:t>3</w:t>
      </w:r>
      <w:r>
        <w:rPr>
          <w:rFonts w:ascii="仿宋_GB2312" w:eastAsia="仿宋_GB2312" w:hint="eastAsia"/>
          <w:sz w:val="32"/>
          <w:szCs w:val="32"/>
        </w:rPr>
        <w:t>.具有健全的自主培训制度和科学的培训计划；</w:t>
      </w:r>
    </w:p>
    <w:p w14:paraId="511C77D3"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Times New Roman" w:eastAsia="仿宋_GB2312" w:hAnsi="Times New Roman" w:cs="Times New Roman" w:hint="eastAsia"/>
          <w:sz w:val="32"/>
          <w:szCs w:val="32"/>
        </w:rPr>
        <w:lastRenderedPageBreak/>
        <w:t>4</w:t>
      </w:r>
      <w:r>
        <w:rPr>
          <w:rFonts w:ascii="仿宋_GB2312" w:eastAsia="仿宋_GB2312" w:hint="eastAsia"/>
          <w:sz w:val="32"/>
          <w:szCs w:val="32"/>
        </w:rPr>
        <w:t>.能够提供符合培训要求的师资、场地和设施；</w:t>
      </w:r>
    </w:p>
    <w:p w14:paraId="4C2DCCD1"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Times New Roman" w:eastAsia="仿宋_GB2312" w:hAnsi="Times New Roman" w:cs="Times New Roman" w:hint="eastAsia"/>
          <w:sz w:val="32"/>
          <w:szCs w:val="32"/>
        </w:rPr>
        <w:t>5</w:t>
      </w:r>
      <w:r>
        <w:rPr>
          <w:rFonts w:ascii="仿宋_GB2312" w:eastAsia="仿宋_GB2312" w:hint="eastAsia"/>
          <w:sz w:val="32"/>
          <w:szCs w:val="32"/>
        </w:rPr>
        <w:t>.课程设置符合专业胜任能力培养和职业道德教育要求；</w:t>
      </w:r>
    </w:p>
    <w:p w14:paraId="14174EBC"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Times New Roman" w:eastAsia="仿宋_GB2312" w:hAnsi="Times New Roman" w:cs="Times New Roman" w:hint="eastAsia"/>
          <w:sz w:val="32"/>
          <w:szCs w:val="32"/>
        </w:rPr>
        <w:t>6</w:t>
      </w:r>
      <w:r>
        <w:rPr>
          <w:rFonts w:ascii="仿宋_GB2312" w:eastAsia="仿宋_GB2312" w:hint="eastAsia"/>
          <w:sz w:val="32"/>
          <w:szCs w:val="32"/>
        </w:rPr>
        <w:t>.每期至少有</w:t>
      </w:r>
      <w:r>
        <w:rPr>
          <w:rFonts w:ascii="Times New Roman" w:eastAsia="仿宋_GB2312" w:hAnsi="Times New Roman" w:cs="Times New Roman" w:hint="eastAsia"/>
          <w:sz w:val="32"/>
          <w:szCs w:val="32"/>
        </w:rPr>
        <w:t>30</w:t>
      </w:r>
      <w:r>
        <w:rPr>
          <w:rFonts w:ascii="仿宋_GB2312" w:eastAsia="仿宋_GB2312" w:hint="eastAsia"/>
          <w:sz w:val="32"/>
          <w:szCs w:val="32"/>
        </w:rPr>
        <w:t>名执业会员参加。</w:t>
      </w:r>
    </w:p>
    <w:p w14:paraId="5D344FD9"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各类培训主体请将纸质申请材料每年</w:t>
      </w:r>
      <w:r>
        <w:rPr>
          <w:rFonts w:ascii="Times New Roman" w:eastAsia="仿宋_GB2312" w:hAnsi="Times New Roman" w:cs="Times New Roman" w:hint="eastAsia"/>
          <w:sz w:val="32"/>
          <w:szCs w:val="32"/>
        </w:rPr>
        <w:t>5</w:t>
      </w:r>
      <w:r>
        <w:rPr>
          <w:rFonts w:ascii="仿宋_GB2312" w:eastAsia="仿宋_GB2312" w:hint="eastAsia"/>
          <w:sz w:val="32"/>
          <w:szCs w:val="32"/>
        </w:rPr>
        <w:t>月</w:t>
      </w:r>
      <w:r>
        <w:rPr>
          <w:rFonts w:ascii="Times New Roman" w:eastAsia="仿宋_GB2312" w:hAnsi="Times New Roman" w:cs="Times New Roman" w:hint="eastAsia"/>
          <w:sz w:val="32"/>
          <w:szCs w:val="32"/>
        </w:rPr>
        <w:t>31</w:t>
      </w:r>
      <w:r>
        <w:rPr>
          <w:rFonts w:ascii="仿宋_GB2312" w:eastAsia="仿宋_GB2312" w:hint="eastAsia"/>
          <w:sz w:val="32"/>
          <w:szCs w:val="32"/>
        </w:rPr>
        <w:t>日之前寄送到协会考试培训部。申请相关材料包括培训计划、师资详情、培训内容、培训课时、培训地点及参训人员等方面。各类自主培训资格当年申请，当年有效。</w:t>
      </w:r>
    </w:p>
    <w:p w14:paraId="3AE81199" w14:textId="77777777" w:rsidR="0096146C" w:rsidRDefault="0096146C" w:rsidP="0096146C">
      <w:pPr>
        <w:snapToGrid w:val="0"/>
        <w:spacing w:line="580" w:lineRule="atLeast"/>
        <w:ind w:firstLineChars="200" w:firstLine="643"/>
        <w:rPr>
          <w:rFonts w:ascii="仿宋_GB2312" w:eastAsia="仿宋_GB2312" w:hint="eastAsia"/>
          <w:sz w:val="32"/>
          <w:szCs w:val="32"/>
        </w:rPr>
      </w:pPr>
      <w:r>
        <w:rPr>
          <w:rFonts w:ascii="仿宋_GB2312" w:eastAsia="仿宋_GB2312" w:hint="eastAsia"/>
          <w:b/>
          <w:bCs/>
          <w:sz w:val="32"/>
          <w:szCs w:val="32"/>
        </w:rPr>
        <w:t>第八条</w:t>
      </w:r>
      <w:r>
        <w:rPr>
          <w:rFonts w:ascii="仿宋_GB2312" w:eastAsia="仿宋_GB2312" w:hint="eastAsia"/>
          <w:sz w:val="32"/>
          <w:szCs w:val="32"/>
        </w:rPr>
        <w:t xml:space="preserve"> 省评协、资产评估机构应当聘请实践经验丰富、理论水平高、职业道德和社会声誉良好的专家学者，承担执业会员继续教育任务，建立和完善执业会员继续教育师资队伍。</w:t>
      </w:r>
    </w:p>
    <w:p w14:paraId="73F7E548" w14:textId="77777777" w:rsidR="0096146C" w:rsidRDefault="0096146C" w:rsidP="0096146C">
      <w:pPr>
        <w:snapToGrid w:val="0"/>
        <w:spacing w:line="580" w:lineRule="atLeast"/>
        <w:jc w:val="center"/>
        <w:rPr>
          <w:rFonts w:ascii="黑体" w:eastAsia="黑体" w:hAnsi="黑体" w:hint="eastAsia"/>
          <w:sz w:val="32"/>
          <w:szCs w:val="32"/>
        </w:rPr>
      </w:pPr>
      <w:r>
        <w:rPr>
          <w:rFonts w:ascii="黑体" w:eastAsia="黑体" w:hAnsi="黑体" w:hint="eastAsia"/>
          <w:sz w:val="32"/>
          <w:szCs w:val="32"/>
        </w:rPr>
        <w:t>第三章 继续教育的内容、形式及学时</w:t>
      </w:r>
    </w:p>
    <w:p w14:paraId="0823FF09" w14:textId="77777777" w:rsidR="0096146C" w:rsidRDefault="0096146C" w:rsidP="0096146C">
      <w:pPr>
        <w:snapToGrid w:val="0"/>
        <w:spacing w:line="580" w:lineRule="atLeast"/>
        <w:ind w:firstLineChars="200" w:firstLine="643"/>
        <w:rPr>
          <w:rFonts w:ascii="仿宋_GB2312" w:eastAsia="仿宋_GB2312" w:hint="eastAsia"/>
          <w:sz w:val="32"/>
          <w:szCs w:val="32"/>
        </w:rPr>
      </w:pPr>
      <w:r>
        <w:rPr>
          <w:rFonts w:ascii="仿宋_GB2312" w:eastAsia="仿宋_GB2312" w:hint="eastAsia"/>
          <w:b/>
          <w:bCs/>
          <w:sz w:val="32"/>
          <w:szCs w:val="32"/>
        </w:rPr>
        <w:t>第九条</w:t>
      </w:r>
      <w:r>
        <w:rPr>
          <w:rFonts w:ascii="仿宋_GB2312" w:eastAsia="仿宋_GB2312" w:hint="eastAsia"/>
          <w:sz w:val="32"/>
          <w:szCs w:val="32"/>
        </w:rPr>
        <w:t xml:space="preserve"> 执业会员继续教育的主要内容包括:执业会员为市场主体的各类资产价值及相关事项，提供测算、</w:t>
      </w:r>
      <w:proofErr w:type="gramStart"/>
      <w:r>
        <w:rPr>
          <w:rFonts w:ascii="仿宋_GB2312" w:eastAsia="仿宋_GB2312" w:hint="eastAsia"/>
          <w:sz w:val="32"/>
          <w:szCs w:val="32"/>
        </w:rPr>
        <w:t>鉴证</w:t>
      </w:r>
      <w:proofErr w:type="gramEnd"/>
      <w:r>
        <w:rPr>
          <w:rFonts w:ascii="仿宋_GB2312" w:eastAsia="仿宋_GB2312" w:hint="eastAsia"/>
          <w:sz w:val="32"/>
          <w:szCs w:val="32"/>
        </w:rPr>
        <w:t>、评价、调查和管理咨询等各种服务应当掌握的理论、技术和方法等专业知识，以及相关的法律法规政策、职业规范等。</w:t>
      </w:r>
    </w:p>
    <w:p w14:paraId="67FBA3C1" w14:textId="77777777" w:rsidR="0096146C" w:rsidRDefault="0096146C" w:rsidP="0096146C">
      <w:pPr>
        <w:snapToGrid w:val="0"/>
        <w:spacing w:line="580" w:lineRule="atLeast"/>
        <w:ind w:firstLineChars="200" w:firstLine="643"/>
        <w:rPr>
          <w:rFonts w:ascii="仿宋_GB2312" w:eastAsia="仿宋_GB2312" w:hint="eastAsia"/>
          <w:sz w:val="32"/>
          <w:szCs w:val="32"/>
        </w:rPr>
      </w:pPr>
      <w:r>
        <w:rPr>
          <w:rFonts w:ascii="仿宋_GB2312" w:eastAsia="仿宋_GB2312" w:hint="eastAsia"/>
          <w:b/>
          <w:bCs/>
          <w:sz w:val="32"/>
          <w:szCs w:val="32"/>
        </w:rPr>
        <w:t>第十条</w:t>
      </w:r>
      <w:r>
        <w:rPr>
          <w:rFonts w:ascii="仿宋_GB2312" w:eastAsia="仿宋_GB2312" w:hint="eastAsia"/>
          <w:sz w:val="32"/>
          <w:szCs w:val="32"/>
        </w:rPr>
        <w:t xml:space="preserve"> 执业会员参加继续教育的主要形式包括：</w:t>
      </w:r>
    </w:p>
    <w:p w14:paraId="3BC618C0"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（一）</w:t>
      </w:r>
      <w:proofErr w:type="gramStart"/>
      <w:r>
        <w:rPr>
          <w:rFonts w:ascii="仿宋_GB2312" w:eastAsia="仿宋_GB2312" w:hint="eastAsia"/>
          <w:sz w:val="32"/>
          <w:szCs w:val="32"/>
        </w:rPr>
        <w:t>中评协</w:t>
      </w:r>
      <w:proofErr w:type="gramEnd"/>
      <w:r>
        <w:rPr>
          <w:rFonts w:ascii="仿宋_GB2312" w:eastAsia="仿宋_GB2312" w:hint="eastAsia"/>
          <w:sz w:val="32"/>
          <w:szCs w:val="32"/>
        </w:rPr>
        <w:t>或省评协举办的培训班、高端人才培训班、研修班、专业论坛、学术会议、学术访问或专题讲座等；</w:t>
      </w:r>
    </w:p>
    <w:p w14:paraId="39B05E55"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（二）</w:t>
      </w:r>
      <w:proofErr w:type="gramStart"/>
      <w:r>
        <w:rPr>
          <w:rFonts w:ascii="仿宋_GB2312" w:eastAsia="仿宋_GB2312" w:hint="eastAsia"/>
          <w:sz w:val="32"/>
          <w:szCs w:val="32"/>
        </w:rPr>
        <w:t>中评协</w:t>
      </w:r>
      <w:proofErr w:type="gramEnd"/>
      <w:r>
        <w:rPr>
          <w:rFonts w:ascii="仿宋_GB2312" w:eastAsia="仿宋_GB2312" w:hint="eastAsia"/>
          <w:sz w:val="32"/>
          <w:szCs w:val="32"/>
        </w:rPr>
        <w:t>或省评协举办的远程教育培训；</w:t>
      </w:r>
    </w:p>
    <w:p w14:paraId="3E1FC1E3"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（三）</w:t>
      </w:r>
      <w:proofErr w:type="gramStart"/>
      <w:r>
        <w:rPr>
          <w:rFonts w:ascii="仿宋_GB2312" w:eastAsia="仿宋_GB2312" w:hint="eastAsia"/>
          <w:sz w:val="32"/>
          <w:szCs w:val="32"/>
        </w:rPr>
        <w:t>中评协</w:t>
      </w:r>
      <w:proofErr w:type="gramEnd"/>
      <w:r>
        <w:rPr>
          <w:rFonts w:ascii="仿宋_GB2312" w:eastAsia="仿宋_GB2312" w:hint="eastAsia"/>
          <w:sz w:val="32"/>
          <w:szCs w:val="32"/>
        </w:rPr>
        <w:t>或省评</w:t>
      </w:r>
      <w:proofErr w:type="gramStart"/>
      <w:r>
        <w:rPr>
          <w:rFonts w:ascii="仿宋_GB2312" w:eastAsia="仿宋_GB2312" w:hint="eastAsia"/>
          <w:sz w:val="32"/>
          <w:szCs w:val="32"/>
        </w:rPr>
        <w:t>协委托</w:t>
      </w:r>
      <w:proofErr w:type="gramEnd"/>
      <w:r>
        <w:rPr>
          <w:rFonts w:ascii="仿宋_GB2312" w:eastAsia="仿宋_GB2312" w:hint="eastAsia"/>
          <w:sz w:val="32"/>
          <w:szCs w:val="32"/>
        </w:rPr>
        <w:t>相关教育培训机构提供的网络在线培训；</w:t>
      </w:r>
    </w:p>
    <w:p w14:paraId="635E0797"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（四）经</w:t>
      </w:r>
      <w:proofErr w:type="gramStart"/>
      <w:r>
        <w:rPr>
          <w:rFonts w:ascii="仿宋_GB2312" w:eastAsia="仿宋_GB2312" w:hint="eastAsia"/>
          <w:sz w:val="32"/>
          <w:szCs w:val="32"/>
        </w:rPr>
        <w:t>中评协</w:t>
      </w:r>
      <w:proofErr w:type="gramEnd"/>
      <w:r>
        <w:rPr>
          <w:rFonts w:ascii="仿宋_GB2312" w:eastAsia="仿宋_GB2312" w:hint="eastAsia"/>
          <w:sz w:val="32"/>
          <w:szCs w:val="32"/>
        </w:rPr>
        <w:t>或省评协认可的资产评估机构内部培训；</w:t>
      </w:r>
    </w:p>
    <w:p w14:paraId="29561BCD"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lastRenderedPageBreak/>
        <w:t>（五）</w:t>
      </w:r>
      <w:proofErr w:type="gramStart"/>
      <w:r>
        <w:rPr>
          <w:rFonts w:ascii="仿宋_GB2312" w:eastAsia="仿宋_GB2312" w:hint="eastAsia"/>
          <w:sz w:val="32"/>
          <w:szCs w:val="32"/>
        </w:rPr>
        <w:t>中评协</w:t>
      </w:r>
      <w:proofErr w:type="gramEnd"/>
      <w:r>
        <w:rPr>
          <w:rFonts w:ascii="仿宋_GB2312" w:eastAsia="仿宋_GB2312" w:hint="eastAsia"/>
          <w:sz w:val="32"/>
          <w:szCs w:val="32"/>
        </w:rPr>
        <w:t>或省评协认可的其他形式。</w:t>
      </w:r>
    </w:p>
    <w:p w14:paraId="6775492F" w14:textId="77777777" w:rsidR="0096146C" w:rsidRDefault="0096146C" w:rsidP="0096146C">
      <w:pPr>
        <w:snapToGrid w:val="0"/>
        <w:spacing w:line="580" w:lineRule="atLeast"/>
        <w:ind w:firstLineChars="200" w:firstLine="643"/>
        <w:rPr>
          <w:rFonts w:ascii="仿宋_GB2312" w:eastAsia="仿宋_GB2312" w:hint="eastAsia"/>
          <w:sz w:val="32"/>
          <w:szCs w:val="32"/>
        </w:rPr>
      </w:pPr>
      <w:r>
        <w:rPr>
          <w:rFonts w:ascii="仿宋_GB2312" w:eastAsia="仿宋_GB2312" w:hint="eastAsia"/>
          <w:b/>
          <w:bCs/>
          <w:sz w:val="32"/>
          <w:szCs w:val="32"/>
        </w:rPr>
        <w:t>第十一条</w:t>
      </w:r>
      <w:r>
        <w:rPr>
          <w:rFonts w:ascii="仿宋_GB2312" w:eastAsia="仿宋_GB2312" w:hint="eastAsia"/>
          <w:sz w:val="32"/>
          <w:szCs w:val="32"/>
        </w:rPr>
        <w:t xml:space="preserve"> 执业会员继续教育的其他形式包括：</w:t>
      </w:r>
    </w:p>
    <w:p w14:paraId="19857561"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（一）担任</w:t>
      </w:r>
      <w:proofErr w:type="gramStart"/>
      <w:r>
        <w:rPr>
          <w:rFonts w:ascii="仿宋_GB2312" w:eastAsia="仿宋_GB2312" w:hint="eastAsia"/>
          <w:sz w:val="32"/>
          <w:szCs w:val="32"/>
        </w:rPr>
        <w:t>中评协</w:t>
      </w:r>
      <w:proofErr w:type="gramEnd"/>
      <w:r>
        <w:rPr>
          <w:rFonts w:ascii="仿宋_GB2312" w:eastAsia="仿宋_GB2312" w:hint="eastAsia"/>
          <w:sz w:val="32"/>
          <w:szCs w:val="32"/>
        </w:rPr>
        <w:t>或省评协举办或委托举办的继续教育培训班或研修班授课人、专业论坛或专题讲座演讲人；</w:t>
      </w:r>
    </w:p>
    <w:p w14:paraId="2FF4D3E5"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（二）参加行业执业质量检查、专案调查、专家论证及执业责任鉴定；</w:t>
      </w:r>
    </w:p>
    <w:p w14:paraId="5E71C0DF"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（三）参加资产评估执业标准制定；</w:t>
      </w:r>
    </w:p>
    <w:p w14:paraId="4D010C31"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（四）参加资产评估师考试辅导教材或继续教育教材编写；</w:t>
      </w:r>
    </w:p>
    <w:p w14:paraId="3C3DA432"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（五）承担</w:t>
      </w:r>
      <w:proofErr w:type="gramStart"/>
      <w:r>
        <w:rPr>
          <w:rFonts w:ascii="仿宋_GB2312" w:eastAsia="仿宋_GB2312" w:hint="eastAsia"/>
          <w:sz w:val="32"/>
          <w:szCs w:val="32"/>
        </w:rPr>
        <w:t>中评协</w:t>
      </w:r>
      <w:proofErr w:type="gramEnd"/>
      <w:r>
        <w:rPr>
          <w:rFonts w:ascii="仿宋_GB2312" w:eastAsia="仿宋_GB2312" w:hint="eastAsia"/>
          <w:sz w:val="32"/>
          <w:szCs w:val="32"/>
        </w:rPr>
        <w:t>或省评协认可的课题研究，并取得研究成果；</w:t>
      </w:r>
    </w:p>
    <w:p w14:paraId="23D0D753"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（六）公开出版或发表评估专业著作或专业论文；</w:t>
      </w:r>
    </w:p>
    <w:p w14:paraId="1DE157BB"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（七）参加</w:t>
      </w:r>
      <w:proofErr w:type="gramStart"/>
      <w:r>
        <w:rPr>
          <w:rFonts w:ascii="仿宋_GB2312" w:eastAsia="仿宋_GB2312" w:hint="eastAsia"/>
          <w:sz w:val="32"/>
          <w:szCs w:val="32"/>
        </w:rPr>
        <w:t>中评协</w:t>
      </w:r>
      <w:proofErr w:type="gramEnd"/>
      <w:r>
        <w:rPr>
          <w:rFonts w:ascii="仿宋_GB2312" w:eastAsia="仿宋_GB2312" w:hint="eastAsia"/>
          <w:sz w:val="32"/>
          <w:szCs w:val="32"/>
        </w:rPr>
        <w:t>或省评协认可的国内外评估机构的培训；</w:t>
      </w:r>
    </w:p>
    <w:p w14:paraId="68EF6CD5"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（八）参加在职资产评估专业学位教育；</w:t>
      </w:r>
    </w:p>
    <w:p w14:paraId="442F27A8"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（九）经</w:t>
      </w:r>
      <w:proofErr w:type="gramStart"/>
      <w:r>
        <w:rPr>
          <w:rFonts w:ascii="仿宋_GB2312" w:eastAsia="仿宋_GB2312" w:hint="eastAsia"/>
          <w:sz w:val="32"/>
          <w:szCs w:val="32"/>
        </w:rPr>
        <w:t>中评协</w:t>
      </w:r>
      <w:proofErr w:type="gramEnd"/>
      <w:r>
        <w:rPr>
          <w:rFonts w:ascii="仿宋_GB2312" w:eastAsia="仿宋_GB2312" w:hint="eastAsia"/>
          <w:sz w:val="32"/>
          <w:szCs w:val="32"/>
        </w:rPr>
        <w:t>或省评协认可的其他方式。</w:t>
      </w:r>
    </w:p>
    <w:p w14:paraId="601130AB" w14:textId="77777777" w:rsidR="0096146C" w:rsidRDefault="0096146C" w:rsidP="0096146C">
      <w:pPr>
        <w:snapToGrid w:val="0"/>
        <w:spacing w:line="580" w:lineRule="atLeast"/>
        <w:ind w:firstLineChars="200" w:firstLine="643"/>
        <w:rPr>
          <w:rFonts w:ascii="仿宋_GB2312" w:eastAsia="仿宋_GB2312" w:hint="eastAsia"/>
          <w:sz w:val="32"/>
          <w:szCs w:val="32"/>
        </w:rPr>
      </w:pPr>
      <w:r>
        <w:rPr>
          <w:rFonts w:ascii="仿宋_GB2312" w:eastAsia="仿宋_GB2312" w:hint="eastAsia"/>
          <w:b/>
          <w:bCs/>
          <w:sz w:val="32"/>
          <w:szCs w:val="32"/>
        </w:rPr>
        <w:t>第十二条</w:t>
      </w:r>
      <w:r>
        <w:rPr>
          <w:rFonts w:ascii="仿宋_GB2312" w:eastAsia="仿宋_GB2312" w:hint="eastAsia"/>
          <w:sz w:val="32"/>
          <w:szCs w:val="32"/>
        </w:rPr>
        <w:t xml:space="preserve"> 执业会员每年接受继续教育的时间累计不得少于</w:t>
      </w:r>
      <w:r>
        <w:rPr>
          <w:rFonts w:ascii="Times New Roman" w:eastAsia="仿宋_GB2312" w:hAnsi="Times New Roman" w:cs="Times New Roman"/>
          <w:sz w:val="32"/>
          <w:szCs w:val="32"/>
        </w:rPr>
        <w:t>60</w:t>
      </w:r>
      <w:r>
        <w:rPr>
          <w:rFonts w:ascii="仿宋_GB2312" w:eastAsia="仿宋_GB2312" w:hint="eastAsia"/>
          <w:sz w:val="32"/>
          <w:szCs w:val="32"/>
        </w:rPr>
        <w:t>个学时。本年度的继续教育学时仅在当年有效。</w:t>
      </w:r>
    </w:p>
    <w:p w14:paraId="0E850BC2" w14:textId="77777777" w:rsidR="0096146C" w:rsidRDefault="0096146C" w:rsidP="0096146C">
      <w:pPr>
        <w:snapToGrid w:val="0"/>
        <w:spacing w:line="580" w:lineRule="atLeast"/>
        <w:ind w:firstLineChars="200" w:firstLine="643"/>
        <w:rPr>
          <w:rFonts w:ascii="仿宋_GB2312" w:eastAsia="仿宋_GB2312" w:hint="eastAsia"/>
          <w:sz w:val="32"/>
          <w:szCs w:val="32"/>
        </w:rPr>
      </w:pPr>
      <w:r>
        <w:rPr>
          <w:rFonts w:ascii="仿宋_GB2312" w:eastAsia="仿宋_GB2312" w:hint="eastAsia"/>
          <w:b/>
          <w:bCs/>
          <w:sz w:val="32"/>
          <w:szCs w:val="32"/>
        </w:rPr>
        <w:t>第十三条</w:t>
      </w:r>
      <w:r>
        <w:rPr>
          <w:rFonts w:ascii="仿宋_GB2312" w:eastAsia="仿宋_GB2312" w:hint="eastAsia"/>
          <w:sz w:val="32"/>
          <w:szCs w:val="32"/>
        </w:rPr>
        <w:t xml:space="preserve"> 执业会员参加第十条所列形式的继续教育，至少</w:t>
      </w:r>
      <w:r>
        <w:rPr>
          <w:rFonts w:ascii="Times New Roman" w:eastAsia="仿宋_GB2312" w:hAnsi="Times New Roman" w:cs="Times New Roman" w:hint="eastAsia"/>
          <w:sz w:val="32"/>
          <w:szCs w:val="32"/>
        </w:rPr>
        <w:t>45</w:t>
      </w:r>
      <w:r>
        <w:rPr>
          <w:rFonts w:ascii="仿宋_GB2312" w:eastAsia="仿宋_GB2312" w:hint="eastAsia"/>
          <w:sz w:val="32"/>
          <w:szCs w:val="32"/>
        </w:rPr>
        <w:t>分钟为</w:t>
      </w:r>
      <w:r>
        <w:rPr>
          <w:rFonts w:ascii="Times New Roman" w:eastAsia="仿宋_GB2312" w:hAnsi="Times New Roman" w:cs="Times New Roman" w:hint="eastAsia"/>
          <w:sz w:val="32"/>
          <w:szCs w:val="32"/>
        </w:rPr>
        <w:t>1</w:t>
      </w:r>
      <w:r>
        <w:rPr>
          <w:rFonts w:ascii="仿宋_GB2312" w:eastAsia="仿宋_GB2312" w:hint="eastAsia"/>
          <w:sz w:val="32"/>
          <w:szCs w:val="32"/>
        </w:rPr>
        <w:t>个学时，按照实际参加时间确认。</w:t>
      </w:r>
    </w:p>
    <w:p w14:paraId="2120B9B7" w14:textId="77777777" w:rsidR="0096146C" w:rsidRDefault="0096146C" w:rsidP="0096146C">
      <w:pPr>
        <w:snapToGrid w:val="0"/>
        <w:spacing w:line="580" w:lineRule="atLeast"/>
        <w:ind w:firstLineChars="200" w:firstLine="643"/>
        <w:rPr>
          <w:rFonts w:ascii="仿宋_GB2312" w:eastAsia="仿宋_GB2312" w:hint="eastAsia"/>
          <w:sz w:val="32"/>
          <w:szCs w:val="32"/>
        </w:rPr>
      </w:pPr>
      <w:r>
        <w:rPr>
          <w:rFonts w:ascii="仿宋_GB2312" w:eastAsia="仿宋_GB2312" w:hint="eastAsia"/>
          <w:b/>
          <w:bCs/>
          <w:sz w:val="32"/>
          <w:szCs w:val="32"/>
        </w:rPr>
        <w:t>第十四条</w:t>
      </w:r>
      <w:r>
        <w:rPr>
          <w:rFonts w:ascii="仿宋_GB2312" w:eastAsia="仿宋_GB2312" w:hint="eastAsia"/>
          <w:sz w:val="32"/>
          <w:szCs w:val="32"/>
        </w:rPr>
        <w:t xml:space="preserve"> 执业会员参加第十一条所列的其他形式的继续教育，按下列标准确认学时：</w:t>
      </w:r>
    </w:p>
    <w:p w14:paraId="7F8169B5"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（一）担任执业会员继续教育培训班或研修班授课人、专业论坛或专题讲座演讲人，按照实际授课、演讲时间的</w:t>
      </w:r>
      <w:r>
        <w:rPr>
          <w:rFonts w:ascii="Times New Roman" w:eastAsia="仿宋_GB2312" w:hAnsi="Times New Roman" w:cs="Times New Roman" w:hint="eastAsia"/>
          <w:sz w:val="32"/>
          <w:szCs w:val="32"/>
        </w:rPr>
        <w:t>4</w:t>
      </w:r>
      <w:r>
        <w:rPr>
          <w:rFonts w:ascii="仿宋_GB2312" w:eastAsia="仿宋_GB2312" w:hint="eastAsia"/>
          <w:sz w:val="32"/>
          <w:szCs w:val="32"/>
        </w:rPr>
        <w:lastRenderedPageBreak/>
        <w:t>倍确认学时；</w:t>
      </w:r>
    </w:p>
    <w:p w14:paraId="22C148DB"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（二）参加行业执业质量检查、专案调查、专家论证及执业责任鉴定每天确认</w:t>
      </w:r>
      <w:r>
        <w:rPr>
          <w:rFonts w:ascii="Times New Roman" w:eastAsia="仿宋_GB2312" w:hAnsi="Times New Roman" w:cs="Times New Roman" w:hint="eastAsia"/>
          <w:sz w:val="32"/>
          <w:szCs w:val="32"/>
        </w:rPr>
        <w:t>4</w:t>
      </w:r>
      <w:r>
        <w:rPr>
          <w:rFonts w:ascii="仿宋_GB2312" w:eastAsia="仿宋_GB2312" w:hint="eastAsia"/>
          <w:sz w:val="32"/>
          <w:szCs w:val="32"/>
        </w:rPr>
        <w:t>个学时，每年最多可确认</w:t>
      </w:r>
      <w:r>
        <w:rPr>
          <w:rFonts w:ascii="Times New Roman" w:eastAsia="仿宋_GB2312" w:hAnsi="Times New Roman" w:cs="Times New Roman" w:hint="eastAsia"/>
          <w:sz w:val="32"/>
          <w:szCs w:val="32"/>
        </w:rPr>
        <w:t>40</w:t>
      </w:r>
      <w:r>
        <w:rPr>
          <w:rFonts w:ascii="仿宋_GB2312" w:eastAsia="仿宋_GB2312" w:hint="eastAsia"/>
          <w:sz w:val="32"/>
          <w:szCs w:val="32"/>
        </w:rPr>
        <w:t>个学时；</w:t>
      </w:r>
    </w:p>
    <w:p w14:paraId="6C14B606"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（三）参加资产评估执业标准制定，项目组长每个项目确认</w:t>
      </w:r>
      <w:r>
        <w:rPr>
          <w:rFonts w:ascii="Times New Roman" w:eastAsia="仿宋_GB2312" w:hAnsi="Times New Roman" w:cs="Times New Roman" w:hint="eastAsia"/>
          <w:sz w:val="32"/>
          <w:szCs w:val="32"/>
        </w:rPr>
        <w:t>30</w:t>
      </w:r>
      <w:r>
        <w:rPr>
          <w:rFonts w:ascii="仿宋_GB2312" w:eastAsia="仿宋_GB2312" w:hint="eastAsia"/>
          <w:sz w:val="32"/>
          <w:szCs w:val="32"/>
        </w:rPr>
        <w:t>个学时，项目组成员每个项目确认</w:t>
      </w:r>
      <w:r>
        <w:rPr>
          <w:rFonts w:ascii="Times New Roman" w:eastAsia="仿宋_GB2312" w:hAnsi="Times New Roman" w:cs="Times New Roman" w:hint="eastAsia"/>
          <w:sz w:val="32"/>
          <w:szCs w:val="32"/>
        </w:rPr>
        <w:t>20</w:t>
      </w:r>
      <w:r>
        <w:rPr>
          <w:rFonts w:ascii="仿宋_GB2312" w:eastAsia="仿宋_GB2312" w:hint="eastAsia"/>
          <w:sz w:val="32"/>
          <w:szCs w:val="32"/>
        </w:rPr>
        <w:t>个学时；</w:t>
      </w:r>
    </w:p>
    <w:p w14:paraId="7197F46B"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（四）参加资产评估师考试辅导教材或继续教育培训教材编写，每万字确认</w:t>
      </w:r>
      <w:r>
        <w:rPr>
          <w:rFonts w:ascii="Times New Roman" w:eastAsia="仿宋_GB2312" w:hAnsi="Times New Roman" w:cs="Times New Roman" w:hint="eastAsia"/>
          <w:sz w:val="32"/>
          <w:szCs w:val="32"/>
        </w:rPr>
        <w:t>5</w:t>
      </w:r>
      <w:r>
        <w:rPr>
          <w:rFonts w:ascii="仿宋_GB2312" w:eastAsia="仿宋_GB2312" w:hint="eastAsia"/>
          <w:sz w:val="32"/>
          <w:szCs w:val="32"/>
        </w:rPr>
        <w:t>个学时；</w:t>
      </w:r>
    </w:p>
    <w:p w14:paraId="6D88B0F8"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（五）承担研究课题并取得研究成果，每个项目确认</w:t>
      </w:r>
      <w:r>
        <w:rPr>
          <w:rFonts w:ascii="Times New Roman" w:eastAsia="仿宋_GB2312" w:hAnsi="Times New Roman" w:cs="Times New Roman" w:hint="eastAsia"/>
          <w:sz w:val="32"/>
          <w:szCs w:val="32"/>
        </w:rPr>
        <w:t>20</w:t>
      </w:r>
      <w:r>
        <w:rPr>
          <w:rFonts w:ascii="仿宋_GB2312" w:eastAsia="仿宋_GB2312" w:hint="eastAsia"/>
          <w:sz w:val="32"/>
          <w:szCs w:val="32"/>
        </w:rPr>
        <w:t>个学时；</w:t>
      </w:r>
    </w:p>
    <w:p w14:paraId="2FF9FCED"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（六）公开出版评估专业著作，独</w:t>
      </w:r>
      <w:proofErr w:type="gramStart"/>
      <w:r>
        <w:rPr>
          <w:rFonts w:ascii="仿宋_GB2312" w:eastAsia="仿宋_GB2312" w:hint="eastAsia"/>
          <w:sz w:val="32"/>
          <w:szCs w:val="32"/>
        </w:rPr>
        <w:t>著每个</w:t>
      </w:r>
      <w:proofErr w:type="gramEnd"/>
      <w:r>
        <w:rPr>
          <w:rFonts w:ascii="仿宋_GB2312" w:eastAsia="仿宋_GB2312" w:hint="eastAsia"/>
          <w:sz w:val="32"/>
          <w:szCs w:val="32"/>
        </w:rPr>
        <w:t>项目确认</w:t>
      </w:r>
      <w:r>
        <w:rPr>
          <w:rFonts w:ascii="Times New Roman" w:eastAsia="仿宋_GB2312" w:hAnsi="Times New Roman" w:cs="Times New Roman" w:hint="eastAsia"/>
          <w:sz w:val="32"/>
          <w:szCs w:val="32"/>
        </w:rPr>
        <w:t>40</w:t>
      </w:r>
      <w:r>
        <w:rPr>
          <w:rFonts w:ascii="仿宋_GB2312" w:eastAsia="仿宋_GB2312" w:hint="eastAsia"/>
          <w:sz w:val="32"/>
          <w:szCs w:val="32"/>
        </w:rPr>
        <w:t>个学时，合著第一作者每个项目确认</w:t>
      </w:r>
      <w:r>
        <w:rPr>
          <w:rFonts w:ascii="Times New Roman" w:eastAsia="仿宋_GB2312" w:hAnsi="Times New Roman" w:cs="Times New Roman" w:hint="eastAsia"/>
          <w:sz w:val="32"/>
          <w:szCs w:val="32"/>
        </w:rPr>
        <w:t>30</w:t>
      </w:r>
      <w:r>
        <w:rPr>
          <w:rFonts w:ascii="仿宋_GB2312" w:eastAsia="仿宋_GB2312" w:hint="eastAsia"/>
          <w:sz w:val="32"/>
          <w:szCs w:val="32"/>
        </w:rPr>
        <w:t>个学时，其他作者每个项目确认</w:t>
      </w:r>
      <w:r>
        <w:rPr>
          <w:rFonts w:ascii="Times New Roman" w:eastAsia="仿宋_GB2312" w:hAnsi="Times New Roman" w:cs="Times New Roman" w:hint="eastAsia"/>
          <w:sz w:val="32"/>
          <w:szCs w:val="32"/>
        </w:rPr>
        <w:t>20</w:t>
      </w:r>
      <w:r>
        <w:rPr>
          <w:rFonts w:ascii="仿宋_GB2312" w:eastAsia="仿宋_GB2312" w:hint="eastAsia"/>
          <w:sz w:val="32"/>
          <w:szCs w:val="32"/>
        </w:rPr>
        <w:t>个学时；</w:t>
      </w:r>
    </w:p>
    <w:p w14:paraId="2468DA0E"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（七）在省级以上(含省级)经济类报刊上发表评估专业文章，第一作者每篇确认</w:t>
      </w:r>
      <w:r>
        <w:rPr>
          <w:rFonts w:ascii="Times New Roman" w:eastAsia="仿宋_GB2312" w:hAnsi="Times New Roman" w:cs="Times New Roman"/>
          <w:sz w:val="32"/>
          <w:szCs w:val="32"/>
        </w:rPr>
        <w:t>15</w:t>
      </w:r>
      <w:r>
        <w:rPr>
          <w:rFonts w:ascii="仿宋_GB2312" w:eastAsia="仿宋_GB2312" w:hint="eastAsia"/>
          <w:sz w:val="32"/>
          <w:szCs w:val="32"/>
        </w:rPr>
        <w:t>个学时，其他作者每个项目确认</w:t>
      </w:r>
      <w:r>
        <w:rPr>
          <w:rFonts w:ascii="Times New Roman" w:eastAsia="仿宋_GB2312" w:hAnsi="Times New Roman" w:cs="Times New Roman" w:hint="eastAsia"/>
          <w:sz w:val="32"/>
          <w:szCs w:val="32"/>
        </w:rPr>
        <w:t>10</w:t>
      </w:r>
      <w:r>
        <w:rPr>
          <w:rFonts w:ascii="仿宋_GB2312" w:eastAsia="仿宋_GB2312" w:hint="eastAsia"/>
          <w:sz w:val="32"/>
          <w:szCs w:val="32"/>
        </w:rPr>
        <w:t>个学时；</w:t>
      </w:r>
    </w:p>
    <w:p w14:paraId="65820946"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（八）参加</w:t>
      </w:r>
      <w:proofErr w:type="gramStart"/>
      <w:r>
        <w:rPr>
          <w:rFonts w:ascii="仿宋_GB2312" w:eastAsia="仿宋_GB2312" w:hint="eastAsia"/>
          <w:sz w:val="32"/>
          <w:szCs w:val="32"/>
        </w:rPr>
        <w:t>中评协</w:t>
      </w:r>
      <w:proofErr w:type="gramEnd"/>
      <w:r>
        <w:rPr>
          <w:rFonts w:ascii="仿宋_GB2312" w:eastAsia="仿宋_GB2312" w:hint="eastAsia"/>
          <w:sz w:val="32"/>
          <w:szCs w:val="32"/>
        </w:rPr>
        <w:t>或省评协认可的国内外评估机构的培训，按照实际参加时间确认；</w:t>
      </w:r>
    </w:p>
    <w:p w14:paraId="48AAB97E"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（九）参加在职资产评估专业学位教育，当年可确认</w:t>
      </w:r>
      <w:r>
        <w:rPr>
          <w:rFonts w:ascii="Times New Roman" w:eastAsia="仿宋_GB2312" w:hAnsi="Times New Roman" w:cs="Times New Roman"/>
          <w:sz w:val="32"/>
          <w:szCs w:val="32"/>
        </w:rPr>
        <w:t>30</w:t>
      </w:r>
      <w:r>
        <w:rPr>
          <w:rFonts w:ascii="仿宋_GB2312" w:eastAsia="仿宋_GB2312" w:hint="eastAsia"/>
          <w:sz w:val="32"/>
          <w:szCs w:val="32"/>
        </w:rPr>
        <w:t>个学时。</w:t>
      </w:r>
    </w:p>
    <w:p w14:paraId="589AE24D" w14:textId="77777777" w:rsidR="0096146C" w:rsidRDefault="0096146C" w:rsidP="0096146C">
      <w:pPr>
        <w:snapToGrid w:val="0"/>
        <w:spacing w:line="580" w:lineRule="atLeast"/>
        <w:ind w:firstLineChars="200" w:firstLine="643"/>
        <w:rPr>
          <w:rFonts w:ascii="仿宋_GB2312" w:eastAsia="仿宋_GB2312" w:hint="eastAsia"/>
          <w:sz w:val="32"/>
          <w:szCs w:val="32"/>
        </w:rPr>
      </w:pPr>
      <w:r>
        <w:rPr>
          <w:rFonts w:ascii="仿宋_GB2312" w:eastAsia="仿宋_GB2312" w:hint="eastAsia"/>
          <w:b/>
          <w:bCs/>
          <w:sz w:val="32"/>
          <w:szCs w:val="32"/>
        </w:rPr>
        <w:t>第十五条</w:t>
      </w:r>
      <w:r>
        <w:rPr>
          <w:rFonts w:ascii="仿宋_GB2312" w:eastAsia="仿宋_GB2312" w:hint="eastAsia"/>
          <w:sz w:val="32"/>
          <w:szCs w:val="32"/>
        </w:rPr>
        <w:t xml:space="preserve"> 执业会员参加</w:t>
      </w:r>
      <w:proofErr w:type="gramStart"/>
      <w:r>
        <w:rPr>
          <w:rFonts w:ascii="仿宋_GB2312" w:eastAsia="仿宋_GB2312" w:hint="eastAsia"/>
          <w:sz w:val="32"/>
          <w:szCs w:val="32"/>
        </w:rPr>
        <w:t>中评协</w:t>
      </w:r>
      <w:proofErr w:type="gramEnd"/>
      <w:r>
        <w:rPr>
          <w:rFonts w:ascii="仿宋_GB2312" w:eastAsia="仿宋_GB2312" w:hint="eastAsia"/>
          <w:sz w:val="32"/>
          <w:szCs w:val="32"/>
        </w:rPr>
        <w:t>或省评协举办的培训班、研修班、专业论坛、学术会议、学术访问或专题讲座，继续教育学时由举办方确认。</w:t>
      </w:r>
    </w:p>
    <w:p w14:paraId="48E88168"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执业会员参加第十条所列的其他形式的继续教育，应当</w:t>
      </w:r>
      <w:r>
        <w:rPr>
          <w:rFonts w:ascii="仿宋_GB2312" w:eastAsia="仿宋_GB2312" w:hint="eastAsia"/>
          <w:sz w:val="32"/>
          <w:szCs w:val="32"/>
        </w:rPr>
        <w:lastRenderedPageBreak/>
        <w:t>填写继续教育学时确认申请表，连同相关证明材料一并提交省评协确认。</w:t>
      </w:r>
    </w:p>
    <w:p w14:paraId="1AB96008"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执业会员参加资产评估机构举办的内部培训，由省评协对该资产评估机构内部培训考核验收后，确认其继续教育学时。</w:t>
      </w:r>
    </w:p>
    <w:p w14:paraId="54A5BFF0"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分支机构执业会员接受总公司内部培训并申请确认学时的，由总公司所在地地方协会开具培训证明，报省评协确认</w:t>
      </w:r>
      <w:proofErr w:type="gramStart"/>
      <w:r>
        <w:rPr>
          <w:rFonts w:ascii="仿宋_GB2312" w:eastAsia="仿宋_GB2312" w:hint="eastAsia"/>
          <w:sz w:val="32"/>
          <w:szCs w:val="32"/>
        </w:rPr>
        <w:t>后记录</w:t>
      </w:r>
      <w:proofErr w:type="gramEnd"/>
      <w:r>
        <w:rPr>
          <w:rFonts w:ascii="仿宋_GB2312" w:eastAsia="仿宋_GB2312" w:hint="eastAsia"/>
          <w:sz w:val="32"/>
          <w:szCs w:val="32"/>
        </w:rPr>
        <w:t>其继续教育学时。</w:t>
      </w:r>
    </w:p>
    <w:p w14:paraId="75C13A64" w14:textId="77777777" w:rsidR="0096146C" w:rsidRDefault="0096146C" w:rsidP="0096146C">
      <w:pPr>
        <w:snapToGrid w:val="0"/>
        <w:spacing w:line="580" w:lineRule="atLeast"/>
        <w:ind w:firstLineChars="200" w:firstLine="643"/>
        <w:rPr>
          <w:rFonts w:ascii="仿宋_GB2312" w:eastAsia="仿宋_GB2312" w:hint="eastAsia"/>
          <w:sz w:val="32"/>
          <w:szCs w:val="32"/>
        </w:rPr>
      </w:pPr>
      <w:r>
        <w:rPr>
          <w:rFonts w:ascii="仿宋_GB2312" w:eastAsia="仿宋_GB2312" w:hint="eastAsia"/>
          <w:b/>
          <w:bCs/>
          <w:sz w:val="32"/>
          <w:szCs w:val="32"/>
        </w:rPr>
        <w:t>第十六条</w:t>
      </w:r>
      <w:r>
        <w:rPr>
          <w:rFonts w:ascii="仿宋_GB2312" w:eastAsia="仿宋_GB2312" w:hint="eastAsia"/>
          <w:sz w:val="32"/>
          <w:szCs w:val="32"/>
        </w:rPr>
        <w:t xml:space="preserve"> 执业会员有下列情形之一的，由本人提供合理证明，经省评协审核确认后，其继续教育学时可以顺延至下一年度完成，但不得影响下一年度继续教育学时的完成。</w:t>
      </w:r>
    </w:p>
    <w:p w14:paraId="10EA173A"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（一）在境外停留半年以上（含半年）的；</w:t>
      </w:r>
    </w:p>
    <w:p w14:paraId="7F89BA26"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（二）生育休产假的；</w:t>
      </w:r>
    </w:p>
    <w:p w14:paraId="61B738D7"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（三）因疾病连续半年以上（含半年）无法正常工作的；</w:t>
      </w:r>
    </w:p>
    <w:p w14:paraId="4D0C85D1"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（四）省评协认可的其他情形。</w:t>
      </w:r>
    </w:p>
    <w:p w14:paraId="74768A79" w14:textId="77777777" w:rsidR="0096146C" w:rsidRDefault="0096146C" w:rsidP="0096146C">
      <w:pPr>
        <w:snapToGrid w:val="0"/>
        <w:spacing w:line="580" w:lineRule="atLeast"/>
        <w:ind w:firstLineChars="200" w:firstLine="643"/>
        <w:rPr>
          <w:rFonts w:ascii="仿宋_GB2312" w:eastAsia="仿宋_GB2312" w:hint="eastAsia"/>
          <w:sz w:val="32"/>
          <w:szCs w:val="32"/>
        </w:rPr>
      </w:pPr>
      <w:r>
        <w:rPr>
          <w:rFonts w:ascii="仿宋_GB2312" w:eastAsia="仿宋_GB2312" w:hint="eastAsia"/>
          <w:b/>
          <w:bCs/>
          <w:sz w:val="32"/>
          <w:szCs w:val="32"/>
        </w:rPr>
        <w:t>第十七条</w:t>
      </w:r>
      <w:r>
        <w:rPr>
          <w:rFonts w:ascii="仿宋_GB2312" w:eastAsia="仿宋_GB2312" w:hint="eastAsia"/>
          <w:sz w:val="32"/>
          <w:szCs w:val="32"/>
        </w:rPr>
        <w:t xml:space="preserve"> 本办法中未明确的其他形式的继续教育学时，由省评协认可，并将参加继续教育形式及学时确认情况报中评协备案。</w:t>
      </w:r>
    </w:p>
    <w:p w14:paraId="02AB4536" w14:textId="77777777" w:rsidR="0096146C" w:rsidRDefault="0096146C" w:rsidP="0096146C">
      <w:pPr>
        <w:snapToGrid w:val="0"/>
        <w:spacing w:line="580" w:lineRule="atLeast"/>
        <w:jc w:val="center"/>
        <w:rPr>
          <w:rFonts w:ascii="黑体" w:eastAsia="黑体" w:hAnsi="黑体" w:hint="eastAsia"/>
          <w:sz w:val="32"/>
          <w:szCs w:val="32"/>
        </w:rPr>
      </w:pPr>
      <w:r>
        <w:rPr>
          <w:rFonts w:ascii="黑体" w:eastAsia="黑体" w:hAnsi="黑体" w:hint="eastAsia"/>
          <w:sz w:val="32"/>
          <w:szCs w:val="32"/>
        </w:rPr>
        <w:t>第四章 继续教育的考核</w:t>
      </w:r>
    </w:p>
    <w:p w14:paraId="7F8AE8D4" w14:textId="77777777" w:rsidR="0096146C" w:rsidRDefault="0096146C" w:rsidP="0096146C">
      <w:pPr>
        <w:snapToGrid w:val="0"/>
        <w:spacing w:line="580" w:lineRule="atLeast"/>
        <w:ind w:firstLineChars="200" w:firstLine="643"/>
        <w:rPr>
          <w:rFonts w:ascii="仿宋_GB2312" w:eastAsia="仿宋_GB2312" w:hint="eastAsia"/>
          <w:sz w:val="32"/>
          <w:szCs w:val="32"/>
        </w:rPr>
      </w:pPr>
      <w:r>
        <w:rPr>
          <w:rFonts w:ascii="仿宋_GB2312" w:eastAsia="仿宋_GB2312" w:hint="eastAsia"/>
          <w:b/>
          <w:bCs/>
          <w:sz w:val="32"/>
          <w:szCs w:val="32"/>
        </w:rPr>
        <w:t>第十八条</w:t>
      </w:r>
      <w:r>
        <w:rPr>
          <w:rFonts w:ascii="仿宋_GB2312" w:eastAsia="仿宋_GB2312" w:hint="eastAsia"/>
          <w:sz w:val="32"/>
          <w:szCs w:val="32"/>
        </w:rPr>
        <w:t xml:space="preserve"> 省评协对执业会员继续教育实行考核、考试制度。执业会员在学习期间违反培训纪律和管理制度的，可视情节予以批评教育；考核、考试不合格者,不记录继续教育学时，同时将培训结果通报其所在的资产评估机构。</w:t>
      </w:r>
    </w:p>
    <w:p w14:paraId="0F130069" w14:textId="77777777" w:rsidR="0096146C" w:rsidRDefault="0096146C" w:rsidP="0096146C">
      <w:pPr>
        <w:snapToGrid w:val="0"/>
        <w:spacing w:line="580" w:lineRule="atLeast"/>
        <w:ind w:firstLineChars="200" w:firstLine="643"/>
        <w:rPr>
          <w:rFonts w:ascii="仿宋_GB2312" w:eastAsia="仿宋_GB2312" w:hint="eastAsia"/>
          <w:sz w:val="32"/>
          <w:szCs w:val="32"/>
        </w:rPr>
      </w:pPr>
      <w:r>
        <w:rPr>
          <w:rFonts w:ascii="仿宋_GB2312" w:eastAsia="仿宋_GB2312" w:hint="eastAsia"/>
          <w:b/>
          <w:bCs/>
          <w:sz w:val="32"/>
          <w:szCs w:val="32"/>
        </w:rPr>
        <w:t>第十九条</w:t>
      </w:r>
      <w:r>
        <w:rPr>
          <w:rFonts w:ascii="仿宋_GB2312" w:eastAsia="仿宋_GB2312" w:hint="eastAsia"/>
          <w:sz w:val="32"/>
          <w:szCs w:val="32"/>
        </w:rPr>
        <w:t xml:space="preserve"> 执业会员有下列行为之一的，取消相应的继</w:t>
      </w:r>
      <w:r>
        <w:rPr>
          <w:rFonts w:ascii="仿宋_GB2312" w:eastAsia="仿宋_GB2312" w:hint="eastAsia"/>
          <w:sz w:val="32"/>
          <w:szCs w:val="32"/>
        </w:rPr>
        <w:lastRenderedPageBreak/>
        <w:t>续教育学时，并在行业内通报批评：</w:t>
      </w:r>
    </w:p>
    <w:p w14:paraId="67037C35"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（一）提供虚假证明材料骗取继续教育学时的；</w:t>
      </w:r>
    </w:p>
    <w:p w14:paraId="0BC0E2B6"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（二）由他人代替参加继续教育的；</w:t>
      </w:r>
    </w:p>
    <w:p w14:paraId="01C61159" w14:textId="77777777" w:rsidR="0096146C" w:rsidRDefault="0096146C" w:rsidP="0096146C">
      <w:pPr>
        <w:snapToGrid w:val="0"/>
        <w:spacing w:line="580" w:lineRule="atLeast"/>
        <w:ind w:firstLineChars="200" w:firstLine="640"/>
        <w:rPr>
          <w:rFonts w:ascii="仿宋_GB2312" w:eastAsia="仿宋_GB2312" w:hint="eastAsia"/>
          <w:sz w:val="32"/>
          <w:szCs w:val="32"/>
        </w:rPr>
      </w:pPr>
      <w:r>
        <w:rPr>
          <w:rFonts w:ascii="仿宋_GB2312" w:eastAsia="仿宋_GB2312" w:hint="eastAsia"/>
          <w:sz w:val="32"/>
          <w:szCs w:val="32"/>
        </w:rPr>
        <w:t>（三）严重违反培训纪律和管理制度的。</w:t>
      </w:r>
    </w:p>
    <w:p w14:paraId="269443C6" w14:textId="77777777" w:rsidR="0096146C" w:rsidRDefault="0096146C" w:rsidP="0096146C">
      <w:pPr>
        <w:snapToGrid w:val="0"/>
        <w:spacing w:line="580" w:lineRule="atLeast"/>
        <w:ind w:firstLineChars="200" w:firstLine="643"/>
        <w:rPr>
          <w:rFonts w:ascii="仿宋_GB2312" w:eastAsia="仿宋_GB2312" w:hint="eastAsia"/>
          <w:sz w:val="32"/>
          <w:szCs w:val="32"/>
        </w:rPr>
      </w:pPr>
      <w:r>
        <w:rPr>
          <w:rFonts w:ascii="仿宋_GB2312" w:eastAsia="仿宋_GB2312" w:hint="eastAsia"/>
          <w:b/>
          <w:bCs/>
          <w:sz w:val="32"/>
          <w:szCs w:val="32"/>
        </w:rPr>
        <w:t>第二十条</w:t>
      </w:r>
      <w:r>
        <w:rPr>
          <w:rFonts w:ascii="仿宋_GB2312" w:eastAsia="仿宋_GB2312" w:hint="eastAsia"/>
          <w:sz w:val="32"/>
          <w:szCs w:val="32"/>
        </w:rPr>
        <w:t xml:space="preserve"> 对于未完成当年继续教育学时，由省评协限期进行强制培训，对于拒不接受强制培训或强制培训不合格的执业会员，不予通过年检。</w:t>
      </w:r>
    </w:p>
    <w:p w14:paraId="20F8BE81" w14:textId="77777777" w:rsidR="0096146C" w:rsidRDefault="0096146C" w:rsidP="0096146C">
      <w:pPr>
        <w:snapToGrid w:val="0"/>
        <w:spacing w:line="580" w:lineRule="atLeast"/>
        <w:ind w:firstLineChars="200" w:firstLine="643"/>
        <w:rPr>
          <w:rFonts w:ascii="仿宋_GB2312" w:eastAsia="仿宋_GB2312" w:hint="eastAsia"/>
          <w:sz w:val="32"/>
          <w:szCs w:val="32"/>
        </w:rPr>
      </w:pPr>
      <w:r>
        <w:rPr>
          <w:rFonts w:ascii="仿宋_GB2312" w:eastAsia="仿宋_GB2312" w:hint="eastAsia"/>
          <w:b/>
          <w:bCs/>
          <w:sz w:val="32"/>
          <w:szCs w:val="32"/>
        </w:rPr>
        <w:t>第二十一条</w:t>
      </w:r>
      <w:r>
        <w:rPr>
          <w:rFonts w:ascii="仿宋_GB2312" w:eastAsia="仿宋_GB2312" w:hint="eastAsia"/>
          <w:sz w:val="32"/>
          <w:szCs w:val="32"/>
        </w:rPr>
        <w:t xml:space="preserve"> 省评协对资产评估机构内部培训工作进行监督、检查，对不能持续具备内部培训资格条件或不能保证培训质量的资产评估机构，适时取消其内部培训资格。</w:t>
      </w:r>
    </w:p>
    <w:p w14:paraId="01B10E7E" w14:textId="77777777" w:rsidR="0096146C" w:rsidRDefault="0096146C" w:rsidP="0096146C">
      <w:pPr>
        <w:snapToGrid w:val="0"/>
        <w:spacing w:line="580" w:lineRule="atLeast"/>
        <w:jc w:val="center"/>
        <w:rPr>
          <w:rFonts w:ascii="黑体" w:eastAsia="黑体" w:hAnsi="黑体" w:hint="eastAsia"/>
          <w:sz w:val="32"/>
          <w:szCs w:val="32"/>
        </w:rPr>
      </w:pPr>
      <w:r>
        <w:rPr>
          <w:rFonts w:ascii="黑体" w:eastAsia="黑体" w:hAnsi="黑体" w:hint="eastAsia"/>
          <w:sz w:val="32"/>
          <w:szCs w:val="32"/>
        </w:rPr>
        <w:t>第五章 继续教育的经费管理</w:t>
      </w:r>
    </w:p>
    <w:p w14:paraId="0085B106" w14:textId="77777777" w:rsidR="0096146C" w:rsidRDefault="0096146C" w:rsidP="0096146C">
      <w:pPr>
        <w:snapToGrid w:val="0"/>
        <w:spacing w:line="580" w:lineRule="atLeast"/>
        <w:ind w:firstLineChars="200" w:firstLine="643"/>
        <w:rPr>
          <w:rFonts w:ascii="仿宋_GB2312" w:eastAsia="仿宋_GB2312" w:hint="eastAsia"/>
          <w:sz w:val="32"/>
          <w:szCs w:val="32"/>
        </w:rPr>
      </w:pPr>
      <w:r>
        <w:rPr>
          <w:rFonts w:ascii="仿宋_GB2312" w:eastAsia="仿宋_GB2312" w:hint="eastAsia"/>
          <w:b/>
          <w:bCs/>
          <w:sz w:val="32"/>
          <w:szCs w:val="32"/>
        </w:rPr>
        <w:t>第二十二条</w:t>
      </w:r>
      <w:r>
        <w:rPr>
          <w:rFonts w:ascii="仿宋_GB2312" w:eastAsia="仿宋_GB2312" w:hint="eastAsia"/>
          <w:sz w:val="32"/>
          <w:szCs w:val="32"/>
        </w:rPr>
        <w:t xml:space="preserve"> 继续教育经费来源于省评协会费，用于我省资产评估行业人才建设及执业会员继续教育。</w:t>
      </w:r>
    </w:p>
    <w:p w14:paraId="23E4DDF8" w14:textId="77777777" w:rsidR="0096146C" w:rsidRDefault="0096146C" w:rsidP="0096146C">
      <w:pPr>
        <w:snapToGrid w:val="0"/>
        <w:spacing w:line="580" w:lineRule="atLeast"/>
        <w:ind w:firstLineChars="200" w:firstLine="643"/>
        <w:rPr>
          <w:rFonts w:ascii="仿宋_GB2312" w:eastAsia="仿宋_GB2312" w:hint="eastAsia"/>
          <w:sz w:val="32"/>
          <w:szCs w:val="32"/>
        </w:rPr>
      </w:pPr>
      <w:r>
        <w:rPr>
          <w:rFonts w:ascii="仿宋_GB2312" w:eastAsia="仿宋_GB2312" w:hint="eastAsia"/>
          <w:b/>
          <w:bCs/>
          <w:sz w:val="32"/>
          <w:szCs w:val="32"/>
        </w:rPr>
        <w:t>第二十三条</w:t>
      </w:r>
      <w:r>
        <w:rPr>
          <w:rFonts w:ascii="仿宋_GB2312" w:eastAsia="仿宋_GB2312" w:hint="eastAsia"/>
          <w:sz w:val="32"/>
          <w:szCs w:val="32"/>
        </w:rPr>
        <w:t xml:space="preserve"> 省评</w:t>
      </w:r>
      <w:proofErr w:type="gramStart"/>
      <w:r>
        <w:rPr>
          <w:rFonts w:ascii="仿宋_GB2312" w:eastAsia="仿宋_GB2312" w:hint="eastAsia"/>
          <w:sz w:val="32"/>
          <w:szCs w:val="32"/>
        </w:rPr>
        <w:t>协委托</w:t>
      </w:r>
      <w:proofErr w:type="gramEnd"/>
      <w:r>
        <w:rPr>
          <w:rFonts w:ascii="仿宋_GB2312" w:eastAsia="仿宋_GB2312" w:hint="eastAsia"/>
          <w:sz w:val="32"/>
          <w:szCs w:val="32"/>
        </w:rPr>
        <w:t>上海国家会计学院提供的网络在线培训，执业会员的费用由省评协承担。</w:t>
      </w:r>
    </w:p>
    <w:p w14:paraId="1E2432B4" w14:textId="77777777" w:rsidR="0096146C" w:rsidRDefault="0096146C" w:rsidP="0096146C">
      <w:pPr>
        <w:snapToGrid w:val="0"/>
        <w:spacing w:line="580" w:lineRule="atLeast"/>
        <w:ind w:firstLineChars="200" w:firstLine="643"/>
        <w:rPr>
          <w:rFonts w:ascii="仿宋_GB2312" w:eastAsia="仿宋_GB2312" w:hint="eastAsia"/>
          <w:sz w:val="32"/>
          <w:szCs w:val="32"/>
        </w:rPr>
      </w:pPr>
      <w:r>
        <w:rPr>
          <w:rFonts w:ascii="仿宋_GB2312" w:eastAsia="仿宋_GB2312" w:hint="eastAsia"/>
          <w:b/>
          <w:bCs/>
          <w:sz w:val="32"/>
          <w:szCs w:val="32"/>
        </w:rPr>
        <w:t>第二十四条</w:t>
      </w:r>
      <w:r>
        <w:rPr>
          <w:rFonts w:ascii="仿宋_GB2312" w:eastAsia="仿宋_GB2312" w:hint="eastAsia"/>
          <w:sz w:val="32"/>
          <w:szCs w:val="32"/>
        </w:rPr>
        <w:t xml:space="preserve"> 省评协举办的集中面授培训,授课师资费用由省评协承担。</w:t>
      </w:r>
    </w:p>
    <w:p w14:paraId="6DB9F240" w14:textId="77777777" w:rsidR="0096146C" w:rsidRDefault="0096146C" w:rsidP="0096146C">
      <w:pPr>
        <w:snapToGrid w:val="0"/>
        <w:spacing w:line="580" w:lineRule="atLeast"/>
        <w:ind w:firstLineChars="200" w:firstLine="643"/>
        <w:rPr>
          <w:rFonts w:ascii="仿宋_GB2312" w:eastAsia="仿宋_GB2312" w:hint="eastAsia"/>
          <w:sz w:val="32"/>
          <w:szCs w:val="32"/>
        </w:rPr>
      </w:pPr>
      <w:r>
        <w:rPr>
          <w:rFonts w:ascii="仿宋_GB2312" w:eastAsia="仿宋_GB2312" w:hint="eastAsia"/>
          <w:b/>
          <w:bCs/>
          <w:sz w:val="32"/>
          <w:szCs w:val="32"/>
        </w:rPr>
        <w:t>第二十五条</w:t>
      </w:r>
      <w:r>
        <w:rPr>
          <w:rFonts w:ascii="仿宋_GB2312" w:eastAsia="仿宋_GB2312" w:hint="eastAsia"/>
          <w:sz w:val="32"/>
          <w:szCs w:val="32"/>
        </w:rPr>
        <w:t xml:space="preserve"> 对于自主培训工作质量达标的机构，省评协将对培训师资费（仅限外聘师资）、场地费进行补助，补助费用按天计算，最高不超过</w:t>
      </w:r>
      <w:r>
        <w:rPr>
          <w:rFonts w:ascii="Times New Roman" w:eastAsia="仿宋_GB2312" w:hAnsi="Times New Roman" w:cs="Times New Roman"/>
          <w:sz w:val="32"/>
          <w:szCs w:val="32"/>
        </w:rPr>
        <w:t>3</w:t>
      </w:r>
      <w:r>
        <w:rPr>
          <w:rFonts w:ascii="仿宋_GB2312" w:eastAsia="仿宋_GB2312" w:hint="eastAsia"/>
          <w:sz w:val="32"/>
          <w:szCs w:val="32"/>
        </w:rPr>
        <w:t>天，若自主培训时间为</w:t>
      </w:r>
      <w:r>
        <w:rPr>
          <w:rFonts w:ascii="Times New Roman" w:eastAsia="仿宋_GB2312" w:hAnsi="Times New Roman" w:cs="Times New Roman"/>
          <w:sz w:val="32"/>
          <w:szCs w:val="32"/>
        </w:rPr>
        <w:t>3</w:t>
      </w:r>
      <w:r>
        <w:rPr>
          <w:rFonts w:ascii="仿宋_GB2312" w:eastAsia="仿宋_GB2312" w:hint="eastAsia"/>
          <w:sz w:val="32"/>
          <w:szCs w:val="32"/>
        </w:rPr>
        <w:t>天以上，按前</w:t>
      </w:r>
      <w:r>
        <w:rPr>
          <w:rFonts w:ascii="Times New Roman" w:eastAsia="仿宋_GB2312" w:hAnsi="Times New Roman" w:cs="Times New Roman"/>
          <w:sz w:val="32"/>
          <w:szCs w:val="32"/>
        </w:rPr>
        <w:t>3</w:t>
      </w:r>
      <w:r>
        <w:rPr>
          <w:rFonts w:ascii="仿宋_GB2312" w:eastAsia="仿宋_GB2312" w:hint="eastAsia"/>
          <w:sz w:val="32"/>
          <w:szCs w:val="32"/>
        </w:rPr>
        <w:t>天进行认定补助。场地费按每名执业会员每天不超过50元进行补助，补助总额不得超过场地实际租用总额。培训师资</w:t>
      </w:r>
      <w:proofErr w:type="gramStart"/>
      <w:r>
        <w:rPr>
          <w:rFonts w:ascii="仿宋_GB2312" w:eastAsia="仿宋_GB2312" w:hint="eastAsia"/>
          <w:sz w:val="32"/>
          <w:szCs w:val="32"/>
        </w:rPr>
        <w:t>费按照</w:t>
      </w:r>
      <w:proofErr w:type="gramEnd"/>
      <w:r>
        <w:rPr>
          <w:rFonts w:ascii="仿宋_GB2312" w:eastAsia="仿宋_GB2312" w:hint="eastAsia"/>
          <w:sz w:val="32"/>
          <w:szCs w:val="32"/>
        </w:rPr>
        <w:t>《山东省资产评估协会关于统一劳务费及补贴标准的办法（修订）》进行补助，且</w:t>
      </w:r>
      <w:r>
        <w:rPr>
          <w:rFonts w:ascii="Times New Roman" w:eastAsia="仿宋_GB2312" w:hAnsi="Times New Roman" w:cs="Times New Roman"/>
          <w:sz w:val="32"/>
          <w:szCs w:val="32"/>
        </w:rPr>
        <w:t>3</w:t>
      </w:r>
      <w:r>
        <w:rPr>
          <w:rFonts w:ascii="仿宋_GB2312" w:eastAsia="仿宋_GB2312" w:hint="eastAsia"/>
          <w:sz w:val="32"/>
          <w:szCs w:val="32"/>
        </w:rPr>
        <w:t>天内外聘讲师数量占</w:t>
      </w:r>
      <w:r>
        <w:rPr>
          <w:rFonts w:ascii="仿宋_GB2312" w:eastAsia="仿宋_GB2312" w:hint="eastAsia"/>
          <w:sz w:val="32"/>
          <w:szCs w:val="32"/>
        </w:rPr>
        <w:lastRenderedPageBreak/>
        <w:t>比不超过三分之一，其余费用机构自行承担。</w:t>
      </w:r>
    </w:p>
    <w:p w14:paraId="118F750E" w14:textId="77777777" w:rsidR="0096146C" w:rsidRDefault="0096146C" w:rsidP="0096146C">
      <w:pPr>
        <w:snapToGrid w:val="0"/>
        <w:spacing w:line="580" w:lineRule="atLeast"/>
        <w:jc w:val="center"/>
        <w:rPr>
          <w:rFonts w:ascii="仿宋_GB2312" w:eastAsia="仿宋_GB2312" w:hint="eastAsia"/>
          <w:b/>
          <w:bCs/>
          <w:sz w:val="32"/>
          <w:szCs w:val="32"/>
        </w:rPr>
      </w:pPr>
      <w:r>
        <w:rPr>
          <w:rFonts w:ascii="仿宋_GB2312" w:eastAsia="仿宋_GB2312" w:hint="eastAsia"/>
          <w:b/>
          <w:bCs/>
          <w:sz w:val="32"/>
          <w:szCs w:val="32"/>
        </w:rPr>
        <w:t>第六章 附则</w:t>
      </w:r>
    </w:p>
    <w:p w14:paraId="478A5641" w14:textId="77777777" w:rsidR="0096146C" w:rsidRDefault="0096146C" w:rsidP="0096146C">
      <w:pPr>
        <w:snapToGrid w:val="0"/>
        <w:spacing w:line="580" w:lineRule="atLeast"/>
        <w:ind w:firstLineChars="200" w:firstLine="643"/>
        <w:rPr>
          <w:rFonts w:ascii="仿宋_GB2312" w:eastAsia="仿宋_GB2312" w:hint="eastAsia"/>
          <w:sz w:val="32"/>
          <w:szCs w:val="32"/>
        </w:rPr>
      </w:pPr>
      <w:r>
        <w:rPr>
          <w:rFonts w:ascii="仿宋_GB2312" w:eastAsia="仿宋_GB2312" w:hint="eastAsia"/>
          <w:b/>
          <w:bCs/>
          <w:sz w:val="32"/>
          <w:szCs w:val="32"/>
        </w:rPr>
        <w:t>第二十六条</w:t>
      </w:r>
      <w:r>
        <w:rPr>
          <w:rFonts w:ascii="仿宋_GB2312" w:eastAsia="仿宋_GB2312" w:hint="eastAsia"/>
          <w:sz w:val="32"/>
          <w:szCs w:val="32"/>
        </w:rPr>
        <w:t xml:space="preserve"> 本办法由山东省资产评估协会负责解释，自发布之日起实施。</w:t>
      </w:r>
    </w:p>
    <w:p w14:paraId="5A7B4F10" w14:textId="77777777" w:rsidR="0096146C" w:rsidRDefault="0096146C" w:rsidP="0096146C">
      <w:pPr>
        <w:pStyle w:val="a9"/>
        <w:snapToGrid w:val="0"/>
        <w:spacing w:line="580" w:lineRule="atLeast"/>
        <w:ind w:left="0"/>
        <w:jc w:val="left"/>
        <w:rPr>
          <w:rFonts w:ascii="黑体" w:eastAsia="黑体" w:hAnsi="黑体" w:cs="黑体"/>
          <w:bCs/>
          <w:sz w:val="28"/>
          <w:szCs w:val="28"/>
        </w:rPr>
      </w:pPr>
      <w:bookmarkStart w:id="0" w:name="_Hlk202192866"/>
    </w:p>
    <w:p w14:paraId="398C7290" w14:textId="77777777" w:rsidR="0096146C" w:rsidRDefault="0096146C" w:rsidP="0096146C">
      <w:pPr>
        <w:pStyle w:val="a9"/>
        <w:snapToGrid w:val="0"/>
        <w:spacing w:line="580" w:lineRule="atLeast"/>
        <w:ind w:left="0"/>
        <w:jc w:val="left"/>
        <w:rPr>
          <w:rFonts w:ascii="黑体" w:eastAsia="黑体" w:hAnsi="黑体" w:cs="黑体"/>
          <w:bCs/>
          <w:sz w:val="28"/>
          <w:szCs w:val="28"/>
        </w:rPr>
      </w:pPr>
    </w:p>
    <w:p w14:paraId="7FABA999" w14:textId="77777777" w:rsidR="0096146C" w:rsidRDefault="0096146C" w:rsidP="0096146C">
      <w:pPr>
        <w:pStyle w:val="a9"/>
        <w:snapToGrid w:val="0"/>
        <w:spacing w:line="580" w:lineRule="atLeast"/>
        <w:ind w:left="0"/>
        <w:jc w:val="left"/>
        <w:rPr>
          <w:rFonts w:ascii="黑体" w:eastAsia="黑体" w:hAnsi="黑体" w:cs="黑体"/>
          <w:bCs/>
          <w:sz w:val="28"/>
          <w:szCs w:val="28"/>
        </w:rPr>
      </w:pPr>
    </w:p>
    <w:p w14:paraId="59B12045" w14:textId="77777777" w:rsidR="0096146C" w:rsidRDefault="0096146C" w:rsidP="0096146C">
      <w:pPr>
        <w:pStyle w:val="a9"/>
        <w:snapToGrid w:val="0"/>
        <w:spacing w:line="580" w:lineRule="atLeast"/>
        <w:ind w:left="0"/>
        <w:jc w:val="left"/>
        <w:rPr>
          <w:rFonts w:ascii="黑体" w:eastAsia="黑体" w:hAnsi="黑体" w:cs="黑体"/>
          <w:bCs/>
          <w:sz w:val="28"/>
          <w:szCs w:val="28"/>
        </w:rPr>
      </w:pPr>
    </w:p>
    <w:p w14:paraId="764B507B" w14:textId="77777777" w:rsidR="0096146C" w:rsidRDefault="0096146C" w:rsidP="0096146C">
      <w:pPr>
        <w:pStyle w:val="a9"/>
        <w:snapToGrid w:val="0"/>
        <w:spacing w:line="580" w:lineRule="atLeast"/>
        <w:ind w:left="0"/>
        <w:jc w:val="left"/>
        <w:rPr>
          <w:rFonts w:ascii="黑体" w:eastAsia="黑体" w:hAnsi="黑体" w:cs="黑体"/>
          <w:bCs/>
          <w:sz w:val="28"/>
          <w:szCs w:val="28"/>
        </w:rPr>
      </w:pPr>
    </w:p>
    <w:p w14:paraId="4C0591DD" w14:textId="77777777" w:rsidR="0096146C" w:rsidRDefault="0096146C" w:rsidP="0096146C">
      <w:pPr>
        <w:pStyle w:val="a9"/>
        <w:snapToGrid w:val="0"/>
        <w:spacing w:line="580" w:lineRule="atLeast"/>
        <w:ind w:left="0"/>
        <w:jc w:val="left"/>
        <w:rPr>
          <w:rFonts w:ascii="黑体" w:eastAsia="黑体" w:hAnsi="黑体" w:cs="黑体"/>
          <w:bCs/>
          <w:sz w:val="28"/>
          <w:szCs w:val="28"/>
        </w:rPr>
      </w:pPr>
    </w:p>
    <w:p w14:paraId="4C508825" w14:textId="77777777" w:rsidR="0096146C" w:rsidRDefault="0096146C" w:rsidP="0096146C">
      <w:pPr>
        <w:pStyle w:val="a9"/>
        <w:snapToGrid w:val="0"/>
        <w:spacing w:line="580" w:lineRule="atLeast"/>
        <w:ind w:left="0"/>
        <w:jc w:val="left"/>
        <w:rPr>
          <w:rFonts w:ascii="黑体" w:eastAsia="黑体" w:hAnsi="黑体" w:cs="黑体"/>
          <w:bCs/>
          <w:sz w:val="28"/>
          <w:szCs w:val="28"/>
        </w:rPr>
      </w:pPr>
    </w:p>
    <w:p w14:paraId="051EE10C" w14:textId="77777777" w:rsidR="0096146C" w:rsidRDefault="0096146C" w:rsidP="0096146C">
      <w:pPr>
        <w:pStyle w:val="a9"/>
        <w:snapToGrid w:val="0"/>
        <w:spacing w:line="580" w:lineRule="atLeast"/>
        <w:ind w:left="0"/>
        <w:jc w:val="left"/>
        <w:rPr>
          <w:rFonts w:ascii="黑体" w:eastAsia="黑体" w:hAnsi="黑体" w:cs="黑体"/>
          <w:bCs/>
          <w:sz w:val="28"/>
          <w:szCs w:val="28"/>
        </w:rPr>
      </w:pPr>
    </w:p>
    <w:p w14:paraId="44146D08" w14:textId="77777777" w:rsidR="0096146C" w:rsidRDefault="0096146C" w:rsidP="0096146C">
      <w:pPr>
        <w:pStyle w:val="a9"/>
        <w:snapToGrid w:val="0"/>
        <w:spacing w:line="580" w:lineRule="atLeast"/>
        <w:ind w:left="0"/>
        <w:jc w:val="left"/>
        <w:rPr>
          <w:rFonts w:ascii="黑体" w:eastAsia="黑体" w:hAnsi="黑体" w:cs="黑体"/>
          <w:bCs/>
          <w:sz w:val="28"/>
          <w:szCs w:val="28"/>
        </w:rPr>
      </w:pPr>
    </w:p>
    <w:p w14:paraId="5E2FDD58" w14:textId="77777777" w:rsidR="0096146C" w:rsidRDefault="0096146C" w:rsidP="0096146C">
      <w:pPr>
        <w:pStyle w:val="a9"/>
        <w:snapToGrid w:val="0"/>
        <w:spacing w:line="580" w:lineRule="atLeast"/>
        <w:ind w:left="0"/>
        <w:jc w:val="left"/>
        <w:rPr>
          <w:rFonts w:ascii="黑体" w:eastAsia="黑体" w:hAnsi="黑体" w:cs="黑体"/>
          <w:bCs/>
          <w:sz w:val="28"/>
          <w:szCs w:val="28"/>
        </w:rPr>
      </w:pPr>
    </w:p>
    <w:p w14:paraId="0177958D" w14:textId="77777777" w:rsidR="0096146C" w:rsidRDefault="0096146C" w:rsidP="0096146C">
      <w:pPr>
        <w:pStyle w:val="a9"/>
        <w:snapToGrid w:val="0"/>
        <w:spacing w:line="580" w:lineRule="atLeast"/>
        <w:ind w:left="0"/>
        <w:jc w:val="left"/>
        <w:rPr>
          <w:rFonts w:ascii="黑体" w:eastAsia="黑体" w:hAnsi="黑体" w:cs="黑体"/>
          <w:bCs/>
          <w:sz w:val="28"/>
          <w:szCs w:val="28"/>
        </w:rPr>
      </w:pPr>
    </w:p>
    <w:p w14:paraId="16D46572" w14:textId="77777777" w:rsidR="0096146C" w:rsidRDefault="0096146C" w:rsidP="0096146C">
      <w:pPr>
        <w:pStyle w:val="a9"/>
        <w:snapToGrid w:val="0"/>
        <w:spacing w:line="580" w:lineRule="atLeast"/>
        <w:ind w:left="0"/>
        <w:jc w:val="left"/>
        <w:rPr>
          <w:rFonts w:ascii="黑体" w:eastAsia="黑体" w:hAnsi="黑体" w:cs="黑体"/>
          <w:bCs/>
          <w:sz w:val="28"/>
          <w:szCs w:val="28"/>
        </w:rPr>
      </w:pPr>
    </w:p>
    <w:p w14:paraId="776F4CB6" w14:textId="77777777" w:rsidR="0096146C" w:rsidRDefault="0096146C" w:rsidP="0096146C">
      <w:pPr>
        <w:pStyle w:val="a9"/>
        <w:snapToGrid w:val="0"/>
        <w:spacing w:line="580" w:lineRule="atLeast"/>
        <w:ind w:left="0"/>
        <w:jc w:val="left"/>
        <w:rPr>
          <w:rFonts w:ascii="黑体" w:eastAsia="黑体" w:hAnsi="黑体" w:cs="黑体"/>
          <w:bCs/>
          <w:sz w:val="28"/>
          <w:szCs w:val="28"/>
        </w:rPr>
      </w:pPr>
    </w:p>
    <w:p w14:paraId="18B43481" w14:textId="77777777" w:rsidR="0096146C" w:rsidRDefault="0096146C" w:rsidP="0096146C">
      <w:pPr>
        <w:pStyle w:val="a9"/>
        <w:snapToGrid w:val="0"/>
        <w:spacing w:line="580" w:lineRule="atLeast"/>
        <w:ind w:left="0"/>
        <w:jc w:val="left"/>
        <w:rPr>
          <w:rFonts w:ascii="黑体" w:eastAsia="黑体" w:hAnsi="黑体" w:cs="黑体"/>
          <w:bCs/>
          <w:sz w:val="28"/>
          <w:szCs w:val="28"/>
        </w:rPr>
      </w:pPr>
    </w:p>
    <w:p w14:paraId="7496A2B6" w14:textId="77777777" w:rsidR="0096146C" w:rsidRDefault="0096146C" w:rsidP="0096146C">
      <w:pPr>
        <w:pStyle w:val="a9"/>
        <w:snapToGrid w:val="0"/>
        <w:spacing w:line="580" w:lineRule="atLeast"/>
        <w:ind w:left="0"/>
        <w:jc w:val="left"/>
        <w:rPr>
          <w:rFonts w:ascii="黑体" w:eastAsia="黑体" w:hAnsi="黑体" w:cs="黑体"/>
          <w:bCs/>
          <w:sz w:val="28"/>
          <w:szCs w:val="28"/>
        </w:rPr>
      </w:pPr>
    </w:p>
    <w:p w14:paraId="1076A18B" w14:textId="77777777" w:rsidR="0096146C" w:rsidRDefault="0096146C" w:rsidP="0096146C">
      <w:pPr>
        <w:pStyle w:val="a9"/>
        <w:snapToGrid w:val="0"/>
        <w:spacing w:line="580" w:lineRule="atLeast"/>
        <w:ind w:left="0"/>
        <w:jc w:val="left"/>
        <w:rPr>
          <w:rFonts w:ascii="黑体" w:eastAsia="黑体" w:hAnsi="黑体" w:cs="黑体"/>
          <w:bCs/>
          <w:sz w:val="28"/>
          <w:szCs w:val="28"/>
        </w:rPr>
      </w:pPr>
    </w:p>
    <w:p w14:paraId="11A233AD" w14:textId="77777777" w:rsidR="0096146C" w:rsidRDefault="0096146C" w:rsidP="0096146C">
      <w:pPr>
        <w:pStyle w:val="a9"/>
        <w:snapToGrid w:val="0"/>
        <w:spacing w:line="580" w:lineRule="atLeast"/>
        <w:ind w:left="0"/>
        <w:jc w:val="left"/>
        <w:rPr>
          <w:rFonts w:ascii="黑体" w:eastAsia="黑体" w:hAnsi="黑体" w:cs="黑体"/>
          <w:bCs/>
          <w:sz w:val="28"/>
          <w:szCs w:val="28"/>
        </w:rPr>
      </w:pPr>
    </w:p>
    <w:p w14:paraId="5894D051" w14:textId="77777777" w:rsidR="0096146C" w:rsidRDefault="0096146C" w:rsidP="0096146C">
      <w:pPr>
        <w:pStyle w:val="a9"/>
        <w:snapToGrid w:val="0"/>
        <w:spacing w:line="580" w:lineRule="atLeast"/>
        <w:ind w:left="0"/>
        <w:jc w:val="left"/>
        <w:rPr>
          <w:rFonts w:ascii="黑体" w:eastAsia="黑体" w:hAnsi="黑体" w:cs="黑体"/>
          <w:bCs/>
          <w:sz w:val="28"/>
          <w:szCs w:val="28"/>
        </w:rPr>
      </w:pPr>
    </w:p>
    <w:p w14:paraId="427C62BF" w14:textId="77777777" w:rsidR="0096146C" w:rsidRDefault="0096146C" w:rsidP="0096146C">
      <w:pPr>
        <w:pStyle w:val="a9"/>
        <w:snapToGrid w:val="0"/>
        <w:spacing w:line="580" w:lineRule="atLeast"/>
        <w:ind w:left="0"/>
        <w:jc w:val="left"/>
        <w:rPr>
          <w:rFonts w:ascii="黑体" w:eastAsia="黑体" w:hAnsi="黑体" w:cs="黑体"/>
          <w:bCs/>
          <w:sz w:val="28"/>
          <w:szCs w:val="28"/>
        </w:rPr>
      </w:pPr>
    </w:p>
    <w:p w14:paraId="47C3425F" w14:textId="77777777" w:rsidR="0096146C" w:rsidRDefault="0096146C" w:rsidP="0096146C">
      <w:pPr>
        <w:pStyle w:val="a9"/>
        <w:snapToGrid w:val="0"/>
        <w:spacing w:line="580" w:lineRule="atLeast"/>
        <w:ind w:left="0"/>
        <w:jc w:val="left"/>
        <w:rPr>
          <w:rFonts w:ascii="黑体" w:eastAsia="黑体" w:hAnsi="黑体" w:cs="黑体"/>
          <w:bCs/>
          <w:sz w:val="28"/>
          <w:szCs w:val="28"/>
        </w:rPr>
      </w:pPr>
    </w:p>
    <w:p w14:paraId="142DDD37" w14:textId="38E5177F" w:rsidR="0096146C" w:rsidRDefault="0096146C" w:rsidP="0096146C">
      <w:pPr>
        <w:pStyle w:val="a9"/>
        <w:snapToGrid w:val="0"/>
        <w:spacing w:line="580" w:lineRule="atLeast"/>
        <w:ind w:left="0"/>
        <w:jc w:val="left"/>
        <w:rPr>
          <w:rFonts w:ascii="黑体" w:eastAsia="黑体" w:hAnsi="黑体" w:cs="黑体" w:hint="eastAsia"/>
          <w:bCs/>
          <w:sz w:val="28"/>
          <w:szCs w:val="28"/>
        </w:rPr>
      </w:pPr>
      <w:r>
        <w:rPr>
          <w:rFonts w:ascii="黑体" w:eastAsia="黑体" w:hAnsi="黑体" w:cs="黑体" w:hint="eastAsia"/>
          <w:bCs/>
          <w:sz w:val="28"/>
          <w:szCs w:val="28"/>
        </w:rPr>
        <w:lastRenderedPageBreak/>
        <w:t>附件1-1</w:t>
      </w:r>
    </w:p>
    <w:p w14:paraId="3E8C5668" w14:textId="77777777" w:rsidR="0096146C" w:rsidRDefault="0096146C" w:rsidP="0096146C">
      <w:pPr>
        <w:pStyle w:val="a9"/>
        <w:snapToGrid w:val="0"/>
        <w:spacing w:line="580" w:lineRule="atLeast"/>
        <w:ind w:left="0"/>
        <w:jc w:val="left"/>
        <w:rPr>
          <w:rFonts w:ascii="黑体" w:eastAsia="黑体" w:hAnsi="黑体" w:cs="黑体" w:hint="eastAsia"/>
          <w:bCs/>
          <w:sz w:val="28"/>
          <w:szCs w:val="28"/>
        </w:rPr>
      </w:pPr>
    </w:p>
    <w:p w14:paraId="28DB9BF0" w14:textId="77777777" w:rsidR="0096146C" w:rsidRDefault="0096146C" w:rsidP="0096146C">
      <w:pPr>
        <w:pStyle w:val="a9"/>
        <w:snapToGrid w:val="0"/>
        <w:spacing w:line="580" w:lineRule="atLeast"/>
        <w:rPr>
          <w:rFonts w:ascii="仿宋_GB2312" w:eastAsia="仿宋_GB2312" w:hAnsi="宋体" w:cs="Times New Roman" w:hint="eastAsia"/>
          <w:b/>
          <w:bCs/>
          <w:sz w:val="32"/>
          <w:szCs w:val="32"/>
        </w:rPr>
      </w:pPr>
      <w:r>
        <w:rPr>
          <w:rFonts w:ascii="方正小标宋简体" w:eastAsia="方正小标宋简体" w:hAnsi="方正小标宋简体" w:cs="方正小标宋简体" w:hint="eastAsia"/>
          <w:sz w:val="32"/>
          <w:szCs w:val="32"/>
        </w:rPr>
        <w:t>中国资产评估协会执业会员继续教育学时确认申请表</w:t>
      </w:r>
    </w:p>
    <w:p w14:paraId="0BFA1CF5" w14:textId="77777777" w:rsidR="0096146C" w:rsidRDefault="0096146C" w:rsidP="0096146C">
      <w:pPr>
        <w:pStyle w:val="a9"/>
        <w:snapToGrid w:val="0"/>
        <w:spacing w:line="580" w:lineRule="atLeast"/>
        <w:ind w:left="5322"/>
        <w:rPr>
          <w:rFonts w:ascii="仿宋_GB2312" w:eastAsia="仿宋_GB2312" w:hAnsi="宋体" w:cs="Times New Roman" w:hint="eastAsia"/>
          <w:sz w:val="32"/>
          <w:szCs w:val="32"/>
        </w:rPr>
      </w:pPr>
    </w:p>
    <w:tbl>
      <w:tblPr>
        <w:tblW w:w="8980" w:type="dxa"/>
        <w:jc w:val="center"/>
        <w:tblLayout w:type="fixed"/>
        <w:tblLook w:val="04A0" w:firstRow="1" w:lastRow="0" w:firstColumn="1" w:lastColumn="0" w:noHBand="0" w:noVBand="1"/>
      </w:tblPr>
      <w:tblGrid>
        <w:gridCol w:w="900"/>
        <w:gridCol w:w="1418"/>
        <w:gridCol w:w="992"/>
        <w:gridCol w:w="125"/>
        <w:gridCol w:w="705"/>
        <w:gridCol w:w="180"/>
        <w:gridCol w:w="2108"/>
        <w:gridCol w:w="2552"/>
      </w:tblGrid>
      <w:tr w:rsidR="0096146C" w14:paraId="22544523" w14:textId="77777777" w:rsidTr="003F3375">
        <w:trPr>
          <w:trHeight w:val="615"/>
          <w:jc w:val="center"/>
        </w:trPr>
        <w:tc>
          <w:tcPr>
            <w:tcW w:w="900" w:type="dxa"/>
            <w:tcBorders>
              <w:top w:val="single" w:sz="4" w:space="0" w:color="auto"/>
              <w:left w:val="single" w:sz="4" w:space="0" w:color="auto"/>
              <w:bottom w:val="single" w:sz="4" w:space="0" w:color="auto"/>
              <w:right w:val="single" w:sz="4" w:space="0" w:color="auto"/>
            </w:tcBorders>
            <w:vAlign w:val="center"/>
          </w:tcPr>
          <w:p w14:paraId="1535A385" w14:textId="77777777" w:rsidR="0096146C" w:rsidRDefault="0096146C" w:rsidP="003F3375">
            <w:pPr>
              <w:snapToGrid w:val="0"/>
              <w:spacing w:line="580" w:lineRule="atLeast"/>
              <w:jc w:val="center"/>
              <w:rPr>
                <w:rFonts w:ascii="仿宋_GB2312" w:eastAsia="仿宋_GB2312" w:hAnsi="宋体" w:hint="eastAsia"/>
                <w:sz w:val="32"/>
                <w:szCs w:val="32"/>
              </w:rPr>
            </w:pPr>
            <w:r>
              <w:rPr>
                <w:rFonts w:ascii="仿宋_GB2312" w:eastAsia="仿宋_GB2312" w:hAnsi="宋体" w:hint="eastAsia"/>
                <w:sz w:val="32"/>
                <w:szCs w:val="32"/>
              </w:rPr>
              <w:t>姓名</w:t>
            </w:r>
          </w:p>
        </w:tc>
        <w:tc>
          <w:tcPr>
            <w:tcW w:w="1418" w:type="dxa"/>
            <w:tcBorders>
              <w:top w:val="single" w:sz="4" w:space="0" w:color="auto"/>
              <w:left w:val="nil"/>
              <w:bottom w:val="single" w:sz="4" w:space="0" w:color="auto"/>
              <w:right w:val="single" w:sz="4" w:space="0" w:color="auto"/>
            </w:tcBorders>
            <w:vAlign w:val="center"/>
          </w:tcPr>
          <w:p w14:paraId="45CEE7DA" w14:textId="77777777" w:rsidR="0096146C" w:rsidRDefault="0096146C" w:rsidP="003F3375">
            <w:pPr>
              <w:snapToGrid w:val="0"/>
              <w:spacing w:line="580" w:lineRule="atLeast"/>
              <w:jc w:val="center"/>
              <w:rPr>
                <w:rFonts w:ascii="仿宋_GB2312" w:eastAsia="仿宋_GB2312" w:hAnsi="宋体" w:hint="eastAsia"/>
                <w:sz w:val="32"/>
                <w:szCs w:val="32"/>
              </w:rPr>
            </w:pPr>
          </w:p>
        </w:tc>
        <w:tc>
          <w:tcPr>
            <w:tcW w:w="1117" w:type="dxa"/>
            <w:gridSpan w:val="2"/>
            <w:tcBorders>
              <w:top w:val="single" w:sz="4" w:space="0" w:color="auto"/>
              <w:left w:val="nil"/>
              <w:bottom w:val="single" w:sz="4" w:space="0" w:color="auto"/>
              <w:right w:val="single" w:sz="4" w:space="0" w:color="auto"/>
            </w:tcBorders>
            <w:vAlign w:val="center"/>
          </w:tcPr>
          <w:p w14:paraId="2DA17B6D" w14:textId="77777777" w:rsidR="0096146C" w:rsidRDefault="0096146C" w:rsidP="003F3375">
            <w:pPr>
              <w:snapToGrid w:val="0"/>
              <w:spacing w:line="580" w:lineRule="atLeast"/>
              <w:jc w:val="center"/>
              <w:rPr>
                <w:rFonts w:ascii="仿宋_GB2312" w:eastAsia="仿宋_GB2312" w:hAnsi="宋体" w:hint="eastAsia"/>
                <w:sz w:val="32"/>
                <w:szCs w:val="32"/>
              </w:rPr>
            </w:pPr>
            <w:r>
              <w:rPr>
                <w:rFonts w:ascii="仿宋_GB2312" w:eastAsia="仿宋_GB2312" w:hAnsi="宋体" w:hint="eastAsia"/>
                <w:sz w:val="32"/>
                <w:szCs w:val="32"/>
              </w:rPr>
              <w:t>性别</w:t>
            </w:r>
          </w:p>
        </w:tc>
        <w:tc>
          <w:tcPr>
            <w:tcW w:w="705" w:type="dxa"/>
            <w:tcBorders>
              <w:top w:val="single" w:sz="4" w:space="0" w:color="auto"/>
              <w:left w:val="nil"/>
              <w:bottom w:val="single" w:sz="4" w:space="0" w:color="auto"/>
              <w:right w:val="single" w:sz="4" w:space="0" w:color="auto"/>
            </w:tcBorders>
            <w:vAlign w:val="center"/>
          </w:tcPr>
          <w:p w14:paraId="2708C749" w14:textId="77777777" w:rsidR="0096146C" w:rsidRDefault="0096146C" w:rsidP="003F3375">
            <w:pPr>
              <w:snapToGrid w:val="0"/>
              <w:spacing w:line="580" w:lineRule="atLeast"/>
              <w:jc w:val="center"/>
              <w:rPr>
                <w:rFonts w:ascii="仿宋_GB2312" w:eastAsia="仿宋_GB2312" w:hAnsi="宋体" w:hint="eastAsia"/>
                <w:sz w:val="32"/>
                <w:szCs w:val="32"/>
              </w:rPr>
            </w:pPr>
          </w:p>
        </w:tc>
        <w:tc>
          <w:tcPr>
            <w:tcW w:w="2288" w:type="dxa"/>
            <w:gridSpan w:val="2"/>
            <w:tcBorders>
              <w:top w:val="single" w:sz="4" w:space="0" w:color="auto"/>
              <w:left w:val="nil"/>
              <w:bottom w:val="single" w:sz="4" w:space="0" w:color="auto"/>
              <w:right w:val="single" w:sz="4" w:space="0" w:color="auto"/>
            </w:tcBorders>
            <w:vAlign w:val="center"/>
          </w:tcPr>
          <w:p w14:paraId="16D20853" w14:textId="77777777" w:rsidR="0096146C" w:rsidRDefault="0096146C" w:rsidP="003F3375">
            <w:pPr>
              <w:snapToGrid w:val="0"/>
              <w:spacing w:line="580" w:lineRule="atLeast"/>
              <w:jc w:val="center"/>
              <w:rPr>
                <w:rFonts w:ascii="仿宋_GB2312" w:eastAsia="仿宋_GB2312" w:hAnsi="宋体" w:hint="eastAsia"/>
                <w:sz w:val="32"/>
                <w:szCs w:val="32"/>
              </w:rPr>
            </w:pPr>
            <w:r>
              <w:rPr>
                <w:rFonts w:ascii="仿宋_GB2312" w:eastAsia="仿宋_GB2312" w:hAnsi="宋体" w:hint="eastAsia"/>
                <w:sz w:val="32"/>
                <w:szCs w:val="32"/>
              </w:rPr>
              <w:t>CPV证书号码</w:t>
            </w:r>
          </w:p>
        </w:tc>
        <w:tc>
          <w:tcPr>
            <w:tcW w:w="2552" w:type="dxa"/>
            <w:tcBorders>
              <w:top w:val="single" w:sz="4" w:space="0" w:color="auto"/>
              <w:left w:val="nil"/>
              <w:bottom w:val="single" w:sz="4" w:space="0" w:color="auto"/>
              <w:right w:val="single" w:sz="4" w:space="0" w:color="auto"/>
            </w:tcBorders>
            <w:vAlign w:val="center"/>
          </w:tcPr>
          <w:p w14:paraId="12961299" w14:textId="77777777" w:rsidR="0096146C" w:rsidRDefault="0096146C" w:rsidP="003F3375">
            <w:pPr>
              <w:snapToGrid w:val="0"/>
              <w:spacing w:line="580" w:lineRule="atLeast"/>
              <w:jc w:val="center"/>
              <w:rPr>
                <w:rFonts w:ascii="仿宋_GB2312" w:eastAsia="仿宋_GB2312" w:hAnsi="宋体" w:hint="eastAsia"/>
                <w:sz w:val="32"/>
                <w:szCs w:val="32"/>
              </w:rPr>
            </w:pPr>
          </w:p>
        </w:tc>
      </w:tr>
      <w:tr w:rsidR="0096146C" w14:paraId="708FD174" w14:textId="77777777" w:rsidTr="003F3375">
        <w:trPr>
          <w:trHeight w:val="601"/>
          <w:jc w:val="center"/>
        </w:trPr>
        <w:tc>
          <w:tcPr>
            <w:tcW w:w="3310" w:type="dxa"/>
            <w:gridSpan w:val="3"/>
            <w:tcBorders>
              <w:top w:val="single" w:sz="4" w:space="0" w:color="auto"/>
              <w:left w:val="single" w:sz="4" w:space="0" w:color="auto"/>
              <w:bottom w:val="single" w:sz="4" w:space="0" w:color="auto"/>
              <w:right w:val="single" w:sz="4" w:space="0" w:color="auto"/>
            </w:tcBorders>
            <w:vAlign w:val="center"/>
          </w:tcPr>
          <w:p w14:paraId="15ED031E" w14:textId="77777777" w:rsidR="0096146C" w:rsidRDefault="0096146C" w:rsidP="003F3375">
            <w:pPr>
              <w:snapToGrid w:val="0"/>
              <w:spacing w:line="580" w:lineRule="atLeast"/>
              <w:jc w:val="center"/>
              <w:rPr>
                <w:rFonts w:ascii="仿宋_GB2312" w:eastAsia="仿宋_GB2312" w:hAnsi="宋体" w:hint="eastAsia"/>
                <w:sz w:val="32"/>
                <w:szCs w:val="32"/>
              </w:rPr>
            </w:pPr>
            <w:r>
              <w:rPr>
                <w:rFonts w:ascii="仿宋_GB2312" w:eastAsia="仿宋_GB2312" w:hAnsi="宋体" w:hint="eastAsia"/>
                <w:sz w:val="32"/>
                <w:szCs w:val="32"/>
              </w:rPr>
              <w:t>所在资产评估机构</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409D609A" w14:textId="77777777" w:rsidR="0096146C" w:rsidRDefault="0096146C" w:rsidP="003F3375">
            <w:pPr>
              <w:snapToGrid w:val="0"/>
              <w:spacing w:line="580" w:lineRule="atLeast"/>
              <w:jc w:val="center"/>
              <w:rPr>
                <w:rFonts w:ascii="仿宋_GB2312" w:eastAsia="仿宋_GB2312" w:hAnsi="宋体" w:hint="eastAsia"/>
                <w:sz w:val="32"/>
                <w:szCs w:val="32"/>
              </w:rPr>
            </w:pPr>
          </w:p>
        </w:tc>
      </w:tr>
      <w:tr w:rsidR="0096146C" w14:paraId="0C0A8256" w14:textId="77777777" w:rsidTr="003F3375">
        <w:trPr>
          <w:trHeight w:val="583"/>
          <w:jc w:val="center"/>
        </w:trPr>
        <w:tc>
          <w:tcPr>
            <w:tcW w:w="3310" w:type="dxa"/>
            <w:gridSpan w:val="3"/>
            <w:tcBorders>
              <w:top w:val="single" w:sz="4" w:space="0" w:color="auto"/>
              <w:left w:val="single" w:sz="4" w:space="0" w:color="auto"/>
              <w:bottom w:val="single" w:sz="4" w:space="0" w:color="auto"/>
              <w:right w:val="single" w:sz="4" w:space="0" w:color="auto"/>
            </w:tcBorders>
            <w:vAlign w:val="center"/>
          </w:tcPr>
          <w:p w14:paraId="5863435A" w14:textId="77777777" w:rsidR="0096146C" w:rsidRDefault="0096146C" w:rsidP="003F3375">
            <w:pPr>
              <w:snapToGrid w:val="0"/>
              <w:spacing w:line="580" w:lineRule="atLeast"/>
              <w:jc w:val="center"/>
              <w:rPr>
                <w:rFonts w:ascii="仿宋_GB2312" w:eastAsia="仿宋_GB2312" w:hAnsi="宋体" w:hint="eastAsia"/>
                <w:sz w:val="32"/>
                <w:szCs w:val="32"/>
              </w:rPr>
            </w:pPr>
            <w:r>
              <w:rPr>
                <w:rFonts w:ascii="仿宋_GB2312" w:eastAsia="仿宋_GB2312" w:hAnsi="宋体" w:hint="eastAsia"/>
                <w:sz w:val="32"/>
                <w:szCs w:val="32"/>
              </w:rPr>
              <w:t>申请确认的学时数</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731BC968" w14:textId="77777777" w:rsidR="0096146C" w:rsidRDefault="0096146C" w:rsidP="003F3375">
            <w:pPr>
              <w:snapToGrid w:val="0"/>
              <w:spacing w:line="580" w:lineRule="atLeast"/>
              <w:jc w:val="center"/>
              <w:rPr>
                <w:rFonts w:ascii="仿宋_GB2312" w:eastAsia="仿宋_GB2312" w:hAnsi="宋体" w:hint="eastAsia"/>
                <w:sz w:val="32"/>
                <w:szCs w:val="32"/>
              </w:rPr>
            </w:pPr>
          </w:p>
        </w:tc>
      </w:tr>
      <w:tr w:rsidR="0096146C" w14:paraId="08A4E399" w14:textId="77777777" w:rsidTr="003F3375">
        <w:trPr>
          <w:trHeight w:val="615"/>
          <w:jc w:val="center"/>
        </w:trPr>
        <w:tc>
          <w:tcPr>
            <w:tcW w:w="3310" w:type="dxa"/>
            <w:gridSpan w:val="3"/>
            <w:tcBorders>
              <w:top w:val="single" w:sz="4" w:space="0" w:color="auto"/>
              <w:left w:val="single" w:sz="4" w:space="0" w:color="auto"/>
              <w:bottom w:val="single" w:sz="4" w:space="0" w:color="auto"/>
              <w:right w:val="single" w:sz="4" w:space="0" w:color="auto"/>
            </w:tcBorders>
            <w:vAlign w:val="center"/>
          </w:tcPr>
          <w:p w14:paraId="0A36D1EC" w14:textId="77777777" w:rsidR="0096146C" w:rsidRDefault="0096146C" w:rsidP="003F3375">
            <w:pPr>
              <w:snapToGrid w:val="0"/>
              <w:spacing w:line="580" w:lineRule="atLeast"/>
              <w:rPr>
                <w:rFonts w:ascii="仿宋_GB2312" w:eastAsia="仿宋_GB2312" w:hAnsi="宋体" w:hint="eastAsia"/>
                <w:sz w:val="32"/>
                <w:szCs w:val="32"/>
              </w:rPr>
            </w:pPr>
            <w:r>
              <w:rPr>
                <w:rFonts w:ascii="仿宋_GB2312" w:eastAsia="仿宋_GB2312" w:hAnsi="宋体" w:hint="eastAsia"/>
                <w:sz w:val="32"/>
                <w:szCs w:val="32"/>
              </w:rPr>
              <w:t>参加继续教育的形式</w:t>
            </w:r>
          </w:p>
        </w:tc>
        <w:tc>
          <w:tcPr>
            <w:tcW w:w="5670" w:type="dxa"/>
            <w:gridSpan w:val="5"/>
            <w:tcBorders>
              <w:top w:val="single" w:sz="4" w:space="0" w:color="auto"/>
              <w:left w:val="nil"/>
              <w:bottom w:val="single" w:sz="4" w:space="0" w:color="auto"/>
              <w:right w:val="single" w:sz="4" w:space="0" w:color="auto"/>
            </w:tcBorders>
            <w:vAlign w:val="center"/>
          </w:tcPr>
          <w:p w14:paraId="741FF272" w14:textId="77777777" w:rsidR="0096146C" w:rsidRDefault="0096146C" w:rsidP="003F3375">
            <w:pPr>
              <w:snapToGrid w:val="0"/>
              <w:spacing w:line="580" w:lineRule="atLeast"/>
              <w:jc w:val="center"/>
              <w:rPr>
                <w:rFonts w:ascii="仿宋_GB2312" w:eastAsia="仿宋_GB2312" w:hAnsi="宋体" w:hint="eastAsia"/>
                <w:sz w:val="32"/>
                <w:szCs w:val="32"/>
              </w:rPr>
            </w:pPr>
          </w:p>
        </w:tc>
      </w:tr>
      <w:tr w:rsidR="0096146C" w14:paraId="37093538" w14:textId="77777777" w:rsidTr="003F3375">
        <w:trPr>
          <w:trHeight w:val="4217"/>
          <w:jc w:val="center"/>
        </w:trPr>
        <w:tc>
          <w:tcPr>
            <w:tcW w:w="8980" w:type="dxa"/>
            <w:gridSpan w:val="8"/>
            <w:tcBorders>
              <w:top w:val="single" w:sz="4" w:space="0" w:color="auto"/>
              <w:left w:val="single" w:sz="4" w:space="0" w:color="auto"/>
              <w:bottom w:val="single" w:sz="4" w:space="0" w:color="auto"/>
              <w:right w:val="single" w:sz="4" w:space="0" w:color="auto"/>
            </w:tcBorders>
          </w:tcPr>
          <w:p w14:paraId="38BC1284" w14:textId="77777777" w:rsidR="0096146C" w:rsidRDefault="0096146C" w:rsidP="003F3375">
            <w:pPr>
              <w:snapToGrid w:val="0"/>
              <w:spacing w:line="580" w:lineRule="atLeast"/>
              <w:rPr>
                <w:rFonts w:ascii="仿宋_GB2312" w:eastAsia="仿宋_GB2312" w:hAnsi="宋体" w:hint="eastAsia"/>
                <w:sz w:val="32"/>
                <w:szCs w:val="32"/>
              </w:rPr>
            </w:pPr>
            <w:r>
              <w:rPr>
                <w:rFonts w:ascii="仿宋_GB2312" w:eastAsia="仿宋_GB2312" w:hAnsi="宋体" w:hint="eastAsia"/>
                <w:sz w:val="32"/>
                <w:szCs w:val="32"/>
              </w:rPr>
              <w:t>参加继续教育情况说明（可另附页）</w:t>
            </w:r>
          </w:p>
          <w:p w14:paraId="221F12B1" w14:textId="77777777" w:rsidR="0096146C" w:rsidRDefault="0096146C" w:rsidP="003F3375">
            <w:pPr>
              <w:snapToGrid w:val="0"/>
              <w:spacing w:line="580" w:lineRule="atLeast"/>
              <w:rPr>
                <w:rFonts w:ascii="仿宋_GB2312" w:eastAsia="仿宋_GB2312" w:hAnsi="宋体" w:hint="eastAsia"/>
                <w:sz w:val="32"/>
                <w:szCs w:val="32"/>
              </w:rPr>
            </w:pPr>
          </w:p>
          <w:p w14:paraId="1D1CE7BF" w14:textId="77777777" w:rsidR="0096146C" w:rsidRDefault="0096146C" w:rsidP="003F3375">
            <w:pPr>
              <w:snapToGrid w:val="0"/>
              <w:spacing w:line="580" w:lineRule="atLeast"/>
              <w:rPr>
                <w:rFonts w:ascii="仿宋_GB2312" w:eastAsia="仿宋_GB2312" w:hAnsi="宋体" w:hint="eastAsia"/>
                <w:sz w:val="32"/>
                <w:szCs w:val="32"/>
              </w:rPr>
            </w:pPr>
          </w:p>
          <w:p w14:paraId="78F33CE3" w14:textId="77777777" w:rsidR="0096146C" w:rsidRDefault="0096146C" w:rsidP="003F3375">
            <w:pPr>
              <w:snapToGrid w:val="0"/>
              <w:spacing w:line="580" w:lineRule="atLeast"/>
              <w:rPr>
                <w:rFonts w:ascii="仿宋_GB2312" w:eastAsia="仿宋_GB2312" w:hAnsi="宋体" w:hint="eastAsia"/>
                <w:sz w:val="32"/>
                <w:szCs w:val="32"/>
              </w:rPr>
            </w:pPr>
          </w:p>
          <w:p w14:paraId="2673BAA4" w14:textId="77777777" w:rsidR="0096146C" w:rsidRDefault="0096146C" w:rsidP="003F3375">
            <w:pPr>
              <w:snapToGrid w:val="0"/>
              <w:spacing w:line="580" w:lineRule="atLeast"/>
              <w:rPr>
                <w:rFonts w:ascii="仿宋_GB2312" w:eastAsia="仿宋_GB2312" w:hAnsi="宋体" w:hint="eastAsia"/>
                <w:sz w:val="32"/>
                <w:szCs w:val="32"/>
              </w:rPr>
            </w:pPr>
          </w:p>
          <w:p w14:paraId="40CBE7E4" w14:textId="77777777" w:rsidR="0096146C" w:rsidRDefault="0096146C" w:rsidP="003F3375">
            <w:pPr>
              <w:snapToGrid w:val="0"/>
              <w:spacing w:line="580" w:lineRule="atLeast"/>
              <w:ind w:firstLineChars="1650" w:firstLine="5280"/>
              <w:rPr>
                <w:rFonts w:ascii="仿宋_GB2312" w:eastAsia="仿宋_GB2312" w:hAnsi="宋体" w:hint="eastAsia"/>
                <w:sz w:val="32"/>
                <w:szCs w:val="32"/>
              </w:rPr>
            </w:pPr>
            <w:r>
              <w:rPr>
                <w:rFonts w:ascii="仿宋_GB2312" w:eastAsia="仿宋_GB2312" w:hAnsi="宋体" w:hint="eastAsia"/>
                <w:sz w:val="32"/>
                <w:szCs w:val="32"/>
              </w:rPr>
              <w:t>申请人：</w:t>
            </w:r>
          </w:p>
          <w:p w14:paraId="698BE626" w14:textId="77777777" w:rsidR="0096146C" w:rsidRDefault="0096146C" w:rsidP="003F3375">
            <w:pPr>
              <w:snapToGrid w:val="0"/>
              <w:spacing w:line="580" w:lineRule="atLeast"/>
              <w:rPr>
                <w:rFonts w:ascii="仿宋_GB2312" w:eastAsia="仿宋_GB2312" w:hAnsi="宋体" w:hint="eastAsia"/>
                <w:sz w:val="32"/>
                <w:szCs w:val="32"/>
              </w:rPr>
            </w:pPr>
            <w:r>
              <w:rPr>
                <w:rFonts w:ascii="仿宋_GB2312" w:eastAsia="仿宋_GB2312" w:hAnsi="宋体" w:hint="eastAsia"/>
                <w:sz w:val="32"/>
                <w:szCs w:val="32"/>
              </w:rPr>
              <w:t xml:space="preserve">                                年   月  日</w:t>
            </w:r>
          </w:p>
        </w:tc>
      </w:tr>
      <w:tr w:rsidR="0096146C" w14:paraId="2215EE85" w14:textId="77777777" w:rsidTr="003F3375">
        <w:trPr>
          <w:trHeight w:val="1700"/>
          <w:jc w:val="center"/>
        </w:trPr>
        <w:tc>
          <w:tcPr>
            <w:tcW w:w="4320" w:type="dxa"/>
            <w:gridSpan w:val="6"/>
            <w:tcBorders>
              <w:top w:val="single" w:sz="4" w:space="0" w:color="auto"/>
              <w:left w:val="single" w:sz="4" w:space="0" w:color="auto"/>
              <w:bottom w:val="single" w:sz="4" w:space="0" w:color="auto"/>
              <w:right w:val="single" w:sz="4" w:space="0" w:color="auto"/>
            </w:tcBorders>
          </w:tcPr>
          <w:p w14:paraId="774B7105" w14:textId="77777777" w:rsidR="0096146C" w:rsidRDefault="0096146C" w:rsidP="003F3375">
            <w:pPr>
              <w:snapToGrid w:val="0"/>
              <w:spacing w:line="580" w:lineRule="atLeast"/>
              <w:rPr>
                <w:rFonts w:ascii="仿宋_GB2312" w:eastAsia="仿宋_GB2312" w:hAnsi="宋体" w:hint="eastAsia"/>
                <w:sz w:val="32"/>
                <w:szCs w:val="32"/>
              </w:rPr>
            </w:pPr>
            <w:r>
              <w:rPr>
                <w:rFonts w:ascii="仿宋_GB2312" w:eastAsia="仿宋_GB2312" w:hAnsi="宋体" w:hint="eastAsia"/>
                <w:sz w:val="32"/>
                <w:szCs w:val="32"/>
              </w:rPr>
              <w:t>所在资产评估机构意见</w:t>
            </w:r>
          </w:p>
        </w:tc>
        <w:tc>
          <w:tcPr>
            <w:tcW w:w="4660" w:type="dxa"/>
            <w:gridSpan w:val="2"/>
            <w:tcBorders>
              <w:top w:val="single" w:sz="4" w:space="0" w:color="auto"/>
              <w:left w:val="nil"/>
              <w:bottom w:val="single" w:sz="4" w:space="0" w:color="auto"/>
              <w:right w:val="single" w:sz="4" w:space="0" w:color="auto"/>
            </w:tcBorders>
          </w:tcPr>
          <w:p w14:paraId="243BB831" w14:textId="77777777" w:rsidR="0096146C" w:rsidRDefault="0096146C" w:rsidP="003F3375">
            <w:pPr>
              <w:snapToGrid w:val="0"/>
              <w:spacing w:line="580" w:lineRule="atLeast"/>
              <w:rPr>
                <w:rFonts w:ascii="仿宋_GB2312" w:eastAsia="仿宋_GB2312" w:hAnsi="宋体" w:hint="eastAsia"/>
                <w:sz w:val="32"/>
                <w:szCs w:val="32"/>
              </w:rPr>
            </w:pPr>
            <w:r>
              <w:rPr>
                <w:rFonts w:ascii="仿宋_GB2312" w:eastAsia="仿宋_GB2312" w:hAnsi="宋体" w:hint="eastAsia"/>
                <w:sz w:val="32"/>
                <w:szCs w:val="32"/>
              </w:rPr>
              <w:t>地方协会意见</w:t>
            </w:r>
          </w:p>
        </w:tc>
      </w:tr>
    </w:tbl>
    <w:p w14:paraId="3E6C1911" w14:textId="77777777" w:rsidR="0096146C" w:rsidRDefault="0096146C" w:rsidP="0096146C">
      <w:pPr>
        <w:snapToGrid w:val="0"/>
        <w:spacing w:line="580" w:lineRule="atLeast"/>
        <w:jc w:val="left"/>
        <w:rPr>
          <w:rFonts w:ascii="仿宋_GB2312" w:eastAsia="仿宋_GB2312" w:hAnsi="宋体" w:hint="eastAsia"/>
          <w:b/>
          <w:sz w:val="24"/>
        </w:rPr>
      </w:pPr>
      <w:r>
        <w:rPr>
          <w:rFonts w:ascii="仿宋_GB2312" w:eastAsia="仿宋_GB2312" w:hAnsi="宋体" w:hint="eastAsia"/>
          <w:b/>
          <w:sz w:val="24"/>
        </w:rPr>
        <w:t>说明：</w:t>
      </w:r>
    </w:p>
    <w:p w14:paraId="540A7638" w14:textId="77777777" w:rsidR="0096146C" w:rsidRDefault="0096146C" w:rsidP="0096146C">
      <w:pPr>
        <w:snapToGrid w:val="0"/>
        <w:spacing w:line="580" w:lineRule="atLeast"/>
        <w:jc w:val="left"/>
        <w:rPr>
          <w:rFonts w:ascii="仿宋_GB2312" w:eastAsia="仿宋_GB2312" w:hAnsi="宋体" w:hint="eastAsia"/>
          <w:sz w:val="24"/>
        </w:rPr>
      </w:pPr>
      <w:r>
        <w:rPr>
          <w:rFonts w:ascii="仿宋_GB2312" w:eastAsia="仿宋_GB2312" w:hAnsi="宋体" w:hint="eastAsia"/>
          <w:sz w:val="24"/>
        </w:rPr>
        <w:t>1、上述表中“继续教育形式”包括：</w:t>
      </w:r>
    </w:p>
    <w:p w14:paraId="30662267" w14:textId="77777777" w:rsidR="0096146C" w:rsidRDefault="0096146C" w:rsidP="0096146C">
      <w:pPr>
        <w:widowControl/>
        <w:shd w:val="clear" w:color="auto" w:fill="FFFFFF"/>
        <w:snapToGrid w:val="0"/>
        <w:spacing w:line="580" w:lineRule="atLeast"/>
        <w:jc w:val="left"/>
        <w:rPr>
          <w:rFonts w:ascii="仿宋_GB2312" w:eastAsia="仿宋_GB2312" w:hAnsi="宋体" w:hint="eastAsia"/>
          <w:sz w:val="24"/>
        </w:rPr>
      </w:pPr>
      <w:r>
        <w:rPr>
          <w:rFonts w:ascii="仿宋_GB2312" w:eastAsia="仿宋_GB2312" w:hAnsi="宋体" w:hint="eastAsia"/>
          <w:color w:val="000000"/>
          <w:kern w:val="0"/>
          <w:sz w:val="24"/>
        </w:rPr>
        <w:t>(1)担任培训班或研修班授课人、专业论坛或专题讲座演讲人；</w:t>
      </w:r>
    </w:p>
    <w:p w14:paraId="59429E03" w14:textId="77777777" w:rsidR="0096146C" w:rsidRDefault="0096146C" w:rsidP="0096146C">
      <w:pPr>
        <w:widowControl/>
        <w:shd w:val="clear" w:color="auto" w:fill="FFFFFF"/>
        <w:snapToGrid w:val="0"/>
        <w:spacing w:line="580" w:lineRule="atLeast"/>
        <w:jc w:val="left"/>
        <w:rPr>
          <w:rFonts w:ascii="仿宋_GB2312" w:eastAsia="仿宋_GB2312" w:hAnsi="宋体" w:hint="eastAsia"/>
          <w:color w:val="000000"/>
          <w:kern w:val="0"/>
          <w:sz w:val="24"/>
        </w:rPr>
      </w:pPr>
      <w:r>
        <w:rPr>
          <w:rFonts w:ascii="仿宋_GB2312" w:eastAsia="仿宋_GB2312" w:hAnsi="宋体" w:hint="eastAsia"/>
          <w:color w:val="000000"/>
          <w:kern w:val="0"/>
          <w:sz w:val="24"/>
        </w:rPr>
        <w:t>(2)参加行业执业质量检查、</w:t>
      </w:r>
      <w:r>
        <w:rPr>
          <w:rFonts w:ascii="仿宋_GB2312" w:eastAsia="仿宋_GB2312" w:hAnsi="宋体" w:hint="eastAsia"/>
          <w:sz w:val="24"/>
        </w:rPr>
        <w:t>专案调查、专家论证及执业责任鉴定；</w:t>
      </w:r>
    </w:p>
    <w:p w14:paraId="6BB4B5B3" w14:textId="77777777" w:rsidR="0096146C" w:rsidRDefault="0096146C" w:rsidP="0096146C">
      <w:pPr>
        <w:widowControl/>
        <w:shd w:val="clear" w:color="auto" w:fill="FFFFFF"/>
        <w:snapToGrid w:val="0"/>
        <w:spacing w:line="580" w:lineRule="atLeast"/>
        <w:jc w:val="left"/>
        <w:rPr>
          <w:rFonts w:ascii="仿宋_GB2312" w:eastAsia="仿宋_GB2312" w:hAnsi="宋体" w:hint="eastAsia"/>
          <w:color w:val="000000"/>
          <w:kern w:val="0"/>
          <w:sz w:val="24"/>
        </w:rPr>
      </w:pPr>
      <w:r>
        <w:rPr>
          <w:rFonts w:ascii="仿宋_GB2312" w:eastAsia="仿宋_GB2312" w:hAnsi="宋体" w:hint="eastAsia"/>
          <w:sz w:val="24"/>
        </w:rPr>
        <w:t>(3)参加资产</w:t>
      </w:r>
      <w:r>
        <w:rPr>
          <w:rFonts w:ascii="仿宋_GB2312" w:eastAsia="仿宋_GB2312" w:hAnsi="宋体" w:hint="eastAsia"/>
          <w:color w:val="000000"/>
          <w:kern w:val="0"/>
          <w:sz w:val="24"/>
        </w:rPr>
        <w:t>评估准则制定；</w:t>
      </w:r>
    </w:p>
    <w:p w14:paraId="0EAB815A" w14:textId="77777777" w:rsidR="0096146C" w:rsidRDefault="0096146C" w:rsidP="0096146C">
      <w:pPr>
        <w:widowControl/>
        <w:shd w:val="clear" w:color="auto" w:fill="FFFFFF"/>
        <w:snapToGrid w:val="0"/>
        <w:spacing w:line="580" w:lineRule="atLeast"/>
        <w:jc w:val="left"/>
        <w:rPr>
          <w:rFonts w:ascii="仿宋_GB2312" w:eastAsia="仿宋_GB2312" w:hAnsi="宋体" w:hint="eastAsia"/>
          <w:color w:val="000000"/>
          <w:kern w:val="0"/>
          <w:sz w:val="24"/>
        </w:rPr>
      </w:pPr>
      <w:r>
        <w:rPr>
          <w:rFonts w:ascii="仿宋_GB2312" w:eastAsia="仿宋_GB2312" w:hAnsi="宋体" w:hint="eastAsia"/>
          <w:color w:val="000000"/>
          <w:kern w:val="0"/>
          <w:sz w:val="24"/>
        </w:rPr>
        <w:lastRenderedPageBreak/>
        <w:t>(4)参加教材编写；</w:t>
      </w:r>
    </w:p>
    <w:p w14:paraId="648E0DC5" w14:textId="77777777" w:rsidR="0096146C" w:rsidRDefault="0096146C" w:rsidP="0096146C">
      <w:pPr>
        <w:widowControl/>
        <w:shd w:val="clear" w:color="auto" w:fill="FFFFFF"/>
        <w:snapToGrid w:val="0"/>
        <w:spacing w:line="580" w:lineRule="atLeast"/>
        <w:jc w:val="left"/>
        <w:rPr>
          <w:rFonts w:ascii="仿宋_GB2312" w:eastAsia="仿宋_GB2312" w:hAnsi="宋体" w:hint="eastAsia"/>
          <w:color w:val="000000"/>
          <w:kern w:val="0"/>
          <w:sz w:val="24"/>
        </w:rPr>
      </w:pPr>
      <w:r>
        <w:rPr>
          <w:rFonts w:ascii="仿宋_GB2312" w:eastAsia="仿宋_GB2312" w:hAnsi="宋体" w:hint="eastAsia"/>
          <w:color w:val="000000"/>
          <w:kern w:val="0"/>
          <w:sz w:val="24"/>
        </w:rPr>
        <w:t>(5)承担课题研究；</w:t>
      </w:r>
    </w:p>
    <w:p w14:paraId="38B3219F" w14:textId="77777777" w:rsidR="0096146C" w:rsidRDefault="0096146C" w:rsidP="0096146C">
      <w:pPr>
        <w:widowControl/>
        <w:shd w:val="clear" w:color="auto" w:fill="FFFFFF"/>
        <w:snapToGrid w:val="0"/>
        <w:spacing w:line="580" w:lineRule="atLeast"/>
        <w:jc w:val="left"/>
        <w:rPr>
          <w:rFonts w:ascii="仿宋_GB2312" w:eastAsia="仿宋_GB2312" w:hAnsi="宋体" w:hint="eastAsia"/>
          <w:color w:val="000000"/>
          <w:kern w:val="0"/>
          <w:sz w:val="24"/>
        </w:rPr>
      </w:pPr>
      <w:r>
        <w:rPr>
          <w:rFonts w:ascii="仿宋_GB2312" w:eastAsia="仿宋_GB2312" w:hAnsi="宋体" w:hint="eastAsia"/>
          <w:color w:val="000000"/>
          <w:kern w:val="0"/>
          <w:sz w:val="24"/>
        </w:rPr>
        <w:t>(6)完成评估专业著作或专业论文；</w:t>
      </w:r>
    </w:p>
    <w:p w14:paraId="4B1DAF8C" w14:textId="77777777" w:rsidR="0096146C" w:rsidRDefault="0096146C" w:rsidP="0096146C">
      <w:pPr>
        <w:widowControl/>
        <w:shd w:val="clear" w:color="auto" w:fill="FFFFFF"/>
        <w:snapToGrid w:val="0"/>
        <w:spacing w:line="580" w:lineRule="atLeast"/>
        <w:jc w:val="left"/>
        <w:rPr>
          <w:rFonts w:ascii="仿宋_GB2312" w:eastAsia="仿宋_GB2312" w:hAnsi="宋体" w:hint="eastAsia"/>
          <w:color w:val="000000"/>
          <w:kern w:val="0"/>
          <w:sz w:val="24"/>
        </w:rPr>
      </w:pPr>
      <w:r>
        <w:rPr>
          <w:rFonts w:ascii="仿宋_GB2312" w:eastAsia="仿宋_GB2312" w:hAnsi="宋体" w:hint="eastAsia"/>
          <w:sz w:val="24"/>
        </w:rPr>
        <w:t>(7)参加国内外评估机构的培训</w:t>
      </w:r>
      <w:r>
        <w:rPr>
          <w:rFonts w:ascii="仿宋_GB2312" w:eastAsia="仿宋_GB2312" w:hAnsi="宋体" w:hint="eastAsia"/>
          <w:color w:val="000000"/>
          <w:kern w:val="0"/>
          <w:sz w:val="24"/>
        </w:rPr>
        <w:t>；</w:t>
      </w:r>
    </w:p>
    <w:p w14:paraId="4CE45F15" w14:textId="77777777" w:rsidR="0096146C" w:rsidRDefault="0096146C" w:rsidP="0096146C">
      <w:pPr>
        <w:widowControl/>
        <w:shd w:val="clear" w:color="auto" w:fill="FFFFFF"/>
        <w:snapToGrid w:val="0"/>
        <w:spacing w:line="580" w:lineRule="atLeast"/>
        <w:jc w:val="left"/>
        <w:rPr>
          <w:rFonts w:ascii="仿宋_GB2312" w:eastAsia="仿宋_GB2312" w:hAnsi="宋体" w:cs="宋体" w:hint="eastAsia"/>
          <w:color w:val="000000"/>
          <w:kern w:val="0"/>
          <w:sz w:val="28"/>
          <w:szCs w:val="28"/>
        </w:rPr>
      </w:pPr>
      <w:r>
        <w:rPr>
          <w:rFonts w:ascii="仿宋_GB2312" w:eastAsia="仿宋_GB2312" w:hAnsi="宋体" w:hint="eastAsia"/>
          <w:sz w:val="24"/>
        </w:rPr>
        <w:t>(8)参加在职资产评估专业学位教育。</w:t>
      </w:r>
    </w:p>
    <w:p w14:paraId="70207E92" w14:textId="77777777" w:rsidR="0096146C" w:rsidRDefault="0096146C" w:rsidP="0096146C">
      <w:pPr>
        <w:snapToGrid w:val="0"/>
        <w:spacing w:line="580" w:lineRule="atLeast"/>
        <w:rPr>
          <w:rFonts w:hint="eastAsia"/>
        </w:rPr>
      </w:pPr>
      <w:r>
        <w:rPr>
          <w:rFonts w:ascii="仿宋_GB2312" w:eastAsia="仿宋_GB2312" w:hAnsi="宋体" w:hint="eastAsia"/>
          <w:sz w:val="24"/>
        </w:rPr>
        <w:t>2、申请人提交本申请表时，请一并报送相关证明材料。</w:t>
      </w:r>
    </w:p>
    <w:bookmarkEnd w:id="0"/>
    <w:p w14:paraId="6FAE9AEE" w14:textId="77777777" w:rsidR="007334F0" w:rsidRPr="0096146C" w:rsidRDefault="007334F0">
      <w:pPr>
        <w:rPr>
          <w:rFonts w:hint="eastAsia"/>
        </w:rPr>
      </w:pPr>
    </w:p>
    <w:sectPr w:rsidR="007334F0" w:rsidRPr="009614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F47B2" w14:textId="77777777" w:rsidR="00905326" w:rsidRDefault="00905326" w:rsidP="0096146C">
      <w:pPr>
        <w:rPr>
          <w:rFonts w:hint="eastAsia"/>
        </w:rPr>
      </w:pPr>
      <w:r>
        <w:separator/>
      </w:r>
    </w:p>
  </w:endnote>
  <w:endnote w:type="continuationSeparator" w:id="0">
    <w:p w14:paraId="63A46B21" w14:textId="77777777" w:rsidR="00905326" w:rsidRDefault="00905326" w:rsidP="009614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DF674" w14:textId="77777777" w:rsidR="00905326" w:rsidRDefault="00905326" w:rsidP="0096146C">
      <w:pPr>
        <w:rPr>
          <w:rFonts w:hint="eastAsia"/>
        </w:rPr>
      </w:pPr>
      <w:r>
        <w:separator/>
      </w:r>
    </w:p>
  </w:footnote>
  <w:footnote w:type="continuationSeparator" w:id="0">
    <w:p w14:paraId="2CFD76DE" w14:textId="77777777" w:rsidR="00905326" w:rsidRDefault="00905326" w:rsidP="0096146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D0"/>
    <w:rsid w:val="003428AD"/>
    <w:rsid w:val="007334F0"/>
    <w:rsid w:val="007A30D0"/>
    <w:rsid w:val="00905326"/>
    <w:rsid w:val="0096146C"/>
    <w:rsid w:val="00964AEE"/>
    <w:rsid w:val="00C22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7E760"/>
  <w15:chartTrackingRefBased/>
  <w15:docId w15:val="{37CD0470-1983-49CB-963D-6121A7E7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46C"/>
    <w:pPr>
      <w:widowControl w:val="0"/>
      <w:jc w:val="both"/>
    </w:pPr>
  </w:style>
  <w:style w:type="paragraph" w:styleId="1">
    <w:name w:val="heading 1"/>
    <w:basedOn w:val="a"/>
    <w:next w:val="a"/>
    <w:link w:val="10"/>
    <w:uiPriority w:val="9"/>
    <w:qFormat/>
    <w:rsid w:val="007A30D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A30D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A30D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A30D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A30D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A30D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A30D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0D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A30D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0D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A30D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A30D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A30D0"/>
    <w:rPr>
      <w:rFonts w:cstheme="majorBidi"/>
      <w:color w:val="0F4761" w:themeColor="accent1" w:themeShade="BF"/>
      <w:sz w:val="28"/>
      <w:szCs w:val="28"/>
    </w:rPr>
  </w:style>
  <w:style w:type="character" w:customStyle="1" w:styleId="50">
    <w:name w:val="标题 5 字符"/>
    <w:basedOn w:val="a0"/>
    <w:link w:val="5"/>
    <w:uiPriority w:val="9"/>
    <w:semiHidden/>
    <w:rsid w:val="007A30D0"/>
    <w:rPr>
      <w:rFonts w:cstheme="majorBidi"/>
      <w:color w:val="0F4761" w:themeColor="accent1" w:themeShade="BF"/>
      <w:sz w:val="24"/>
      <w:szCs w:val="24"/>
    </w:rPr>
  </w:style>
  <w:style w:type="character" w:customStyle="1" w:styleId="60">
    <w:name w:val="标题 6 字符"/>
    <w:basedOn w:val="a0"/>
    <w:link w:val="6"/>
    <w:uiPriority w:val="9"/>
    <w:semiHidden/>
    <w:rsid w:val="007A30D0"/>
    <w:rPr>
      <w:rFonts w:cstheme="majorBidi"/>
      <w:b/>
      <w:bCs/>
      <w:color w:val="0F4761" w:themeColor="accent1" w:themeShade="BF"/>
    </w:rPr>
  </w:style>
  <w:style w:type="character" w:customStyle="1" w:styleId="70">
    <w:name w:val="标题 7 字符"/>
    <w:basedOn w:val="a0"/>
    <w:link w:val="7"/>
    <w:uiPriority w:val="9"/>
    <w:semiHidden/>
    <w:rsid w:val="007A30D0"/>
    <w:rPr>
      <w:rFonts w:cstheme="majorBidi"/>
      <w:b/>
      <w:bCs/>
      <w:color w:val="595959" w:themeColor="text1" w:themeTint="A6"/>
    </w:rPr>
  </w:style>
  <w:style w:type="character" w:customStyle="1" w:styleId="80">
    <w:name w:val="标题 8 字符"/>
    <w:basedOn w:val="a0"/>
    <w:link w:val="8"/>
    <w:uiPriority w:val="9"/>
    <w:semiHidden/>
    <w:rsid w:val="007A30D0"/>
    <w:rPr>
      <w:rFonts w:cstheme="majorBidi"/>
      <w:color w:val="595959" w:themeColor="text1" w:themeTint="A6"/>
    </w:rPr>
  </w:style>
  <w:style w:type="character" w:customStyle="1" w:styleId="90">
    <w:name w:val="标题 9 字符"/>
    <w:basedOn w:val="a0"/>
    <w:link w:val="9"/>
    <w:uiPriority w:val="9"/>
    <w:semiHidden/>
    <w:rsid w:val="007A30D0"/>
    <w:rPr>
      <w:rFonts w:eastAsiaTheme="majorEastAsia" w:cstheme="majorBidi"/>
      <w:color w:val="595959" w:themeColor="text1" w:themeTint="A6"/>
    </w:rPr>
  </w:style>
  <w:style w:type="paragraph" w:styleId="a3">
    <w:name w:val="Title"/>
    <w:basedOn w:val="a"/>
    <w:next w:val="a"/>
    <w:link w:val="a4"/>
    <w:uiPriority w:val="10"/>
    <w:qFormat/>
    <w:rsid w:val="007A30D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0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0D0"/>
    <w:pPr>
      <w:spacing w:before="160" w:after="160"/>
      <w:jc w:val="center"/>
    </w:pPr>
    <w:rPr>
      <w:i/>
      <w:iCs/>
      <w:color w:val="404040" w:themeColor="text1" w:themeTint="BF"/>
    </w:rPr>
  </w:style>
  <w:style w:type="character" w:customStyle="1" w:styleId="a8">
    <w:name w:val="引用 字符"/>
    <w:basedOn w:val="a0"/>
    <w:link w:val="a7"/>
    <w:uiPriority w:val="29"/>
    <w:rsid w:val="007A30D0"/>
    <w:rPr>
      <w:i/>
      <w:iCs/>
      <w:color w:val="404040" w:themeColor="text1" w:themeTint="BF"/>
    </w:rPr>
  </w:style>
  <w:style w:type="paragraph" w:styleId="a9">
    <w:name w:val="List Paragraph"/>
    <w:basedOn w:val="a"/>
    <w:uiPriority w:val="34"/>
    <w:qFormat/>
    <w:rsid w:val="007A30D0"/>
    <w:pPr>
      <w:ind w:left="720"/>
      <w:contextualSpacing/>
    </w:pPr>
  </w:style>
  <w:style w:type="character" w:styleId="aa">
    <w:name w:val="Intense Emphasis"/>
    <w:basedOn w:val="a0"/>
    <w:uiPriority w:val="21"/>
    <w:qFormat/>
    <w:rsid w:val="007A30D0"/>
    <w:rPr>
      <w:i/>
      <w:iCs/>
      <w:color w:val="0F4761" w:themeColor="accent1" w:themeShade="BF"/>
    </w:rPr>
  </w:style>
  <w:style w:type="paragraph" w:styleId="ab">
    <w:name w:val="Intense Quote"/>
    <w:basedOn w:val="a"/>
    <w:next w:val="a"/>
    <w:link w:val="ac"/>
    <w:uiPriority w:val="30"/>
    <w:qFormat/>
    <w:rsid w:val="007A30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A30D0"/>
    <w:rPr>
      <w:i/>
      <w:iCs/>
      <w:color w:val="0F4761" w:themeColor="accent1" w:themeShade="BF"/>
    </w:rPr>
  </w:style>
  <w:style w:type="character" w:styleId="ad">
    <w:name w:val="Intense Reference"/>
    <w:basedOn w:val="a0"/>
    <w:uiPriority w:val="32"/>
    <w:qFormat/>
    <w:rsid w:val="007A30D0"/>
    <w:rPr>
      <w:b/>
      <w:bCs/>
      <w:smallCaps/>
      <w:color w:val="0F4761" w:themeColor="accent1" w:themeShade="BF"/>
      <w:spacing w:val="5"/>
    </w:rPr>
  </w:style>
  <w:style w:type="paragraph" w:styleId="ae">
    <w:name w:val="header"/>
    <w:basedOn w:val="a"/>
    <w:link w:val="af"/>
    <w:uiPriority w:val="99"/>
    <w:unhideWhenUsed/>
    <w:rsid w:val="0096146C"/>
    <w:pPr>
      <w:tabs>
        <w:tab w:val="center" w:pos="4153"/>
        <w:tab w:val="right" w:pos="8306"/>
      </w:tabs>
      <w:snapToGrid w:val="0"/>
      <w:jc w:val="center"/>
    </w:pPr>
    <w:rPr>
      <w:sz w:val="18"/>
      <w:szCs w:val="18"/>
    </w:rPr>
  </w:style>
  <w:style w:type="character" w:customStyle="1" w:styleId="af">
    <w:name w:val="页眉 字符"/>
    <w:basedOn w:val="a0"/>
    <w:link w:val="ae"/>
    <w:uiPriority w:val="99"/>
    <w:rsid w:val="0096146C"/>
    <w:rPr>
      <w:sz w:val="18"/>
      <w:szCs w:val="18"/>
    </w:rPr>
  </w:style>
  <w:style w:type="paragraph" w:styleId="af0">
    <w:name w:val="footer"/>
    <w:basedOn w:val="a"/>
    <w:link w:val="af1"/>
    <w:uiPriority w:val="99"/>
    <w:unhideWhenUsed/>
    <w:rsid w:val="0096146C"/>
    <w:pPr>
      <w:tabs>
        <w:tab w:val="center" w:pos="4153"/>
        <w:tab w:val="right" w:pos="8306"/>
      </w:tabs>
      <w:snapToGrid w:val="0"/>
      <w:jc w:val="left"/>
    </w:pPr>
    <w:rPr>
      <w:sz w:val="18"/>
      <w:szCs w:val="18"/>
    </w:rPr>
  </w:style>
  <w:style w:type="character" w:customStyle="1" w:styleId="af1">
    <w:name w:val="页脚 字符"/>
    <w:basedOn w:val="a0"/>
    <w:link w:val="af0"/>
    <w:uiPriority w:val="99"/>
    <w:rsid w:val="009614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1914</Words>
  <Characters>1934</Characters>
  <Application>Microsoft Office Word</Application>
  <DocSecurity>0</DocSecurity>
  <Lines>101</Lines>
  <Paragraphs>106</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2025-06-30T08:22:00Z</dcterms:created>
  <dcterms:modified xsi:type="dcterms:W3CDTF">2025-06-30T08:23:00Z</dcterms:modified>
</cp:coreProperties>
</file>