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290F1A">
      <w:pPr>
        <w:adjustRightInd w:val="0"/>
        <w:snapToGrid w:val="0"/>
        <w:spacing w:line="580" w:lineRule="exact"/>
        <w:jc w:val="left"/>
        <w:rPr>
          <w:rFonts w:hint="eastAsia" w:ascii="黑体" w:hAnsi="黑体" w:eastAsia="黑体"/>
          <w:sz w:val="32"/>
          <w:szCs w:val="32"/>
        </w:rPr>
      </w:pPr>
      <w:bookmarkStart w:id="1" w:name="_GoBack"/>
      <w:bookmarkEnd w:id="1"/>
      <w:r>
        <w:rPr>
          <w:rFonts w:hint="eastAsia" w:ascii="黑体" w:hAnsi="黑体" w:eastAsia="黑体"/>
          <w:sz w:val="32"/>
          <w:szCs w:val="32"/>
        </w:rPr>
        <w:t>附件</w:t>
      </w:r>
    </w:p>
    <w:p w14:paraId="0EE2060B">
      <w:pPr>
        <w:adjustRightInd w:val="0"/>
        <w:snapToGrid w:val="0"/>
        <w:spacing w:line="580" w:lineRule="exact"/>
        <w:jc w:val="left"/>
        <w:rPr>
          <w:rFonts w:hint="eastAsia" w:ascii="仿宋_GB2312" w:hAnsi="方正小标宋简体" w:eastAsia="仿宋_GB2312"/>
          <w:sz w:val="32"/>
          <w:szCs w:val="32"/>
        </w:rPr>
      </w:pPr>
    </w:p>
    <w:p w14:paraId="6754D777">
      <w:pPr>
        <w:adjustRightInd w:val="0"/>
        <w:snapToGrid w:val="0"/>
        <w:spacing w:line="580" w:lineRule="exact"/>
        <w:jc w:val="left"/>
        <w:rPr>
          <w:rFonts w:hint="eastAsia" w:ascii="仿宋_GB2312" w:hAnsi="方正小标宋简体" w:eastAsia="仿宋_GB2312"/>
          <w:sz w:val="32"/>
          <w:szCs w:val="32"/>
        </w:rPr>
      </w:pPr>
    </w:p>
    <w:p w14:paraId="39A4CBCB">
      <w:pPr>
        <w:adjustRightInd w:val="0"/>
        <w:snapToGrid w:val="0"/>
        <w:spacing w:line="580" w:lineRule="exact"/>
        <w:jc w:val="center"/>
        <w:rPr>
          <w:rFonts w:hint="eastAsia" w:ascii="仿宋_GB2312" w:hAnsi="方正小标宋简体" w:eastAsia="仿宋_GB2312"/>
          <w:sz w:val="32"/>
          <w:szCs w:val="32"/>
        </w:rPr>
      </w:pPr>
      <w:r>
        <w:rPr>
          <w:rFonts w:hint="eastAsia" w:ascii="方正小标宋简体" w:hAnsi="方正小标宋简体" w:eastAsia="方正小标宋简体"/>
          <w:sz w:val="44"/>
          <w:szCs w:val="44"/>
        </w:rPr>
        <w:t>知识产权出资资产评估调查问卷</w:t>
      </w:r>
    </w:p>
    <w:p w14:paraId="2100DAB7">
      <w:pPr>
        <w:adjustRightInd w:val="0"/>
        <w:snapToGrid w:val="0"/>
        <w:spacing w:line="580" w:lineRule="exact"/>
        <w:jc w:val="left"/>
        <w:rPr>
          <w:rFonts w:hint="eastAsia" w:ascii="仿宋_GB2312" w:hAnsi="方正小标宋简体" w:eastAsia="仿宋_GB2312"/>
          <w:sz w:val="32"/>
          <w:szCs w:val="32"/>
        </w:rPr>
      </w:pPr>
    </w:p>
    <w:p w14:paraId="7A8CCA25">
      <w:pPr>
        <w:adjustRightInd w:val="0"/>
        <w:snapToGrid w:val="0"/>
        <w:spacing w:line="580" w:lineRule="exact"/>
        <w:jc w:val="center"/>
        <w:rPr>
          <w:rFonts w:hint="eastAsia" w:ascii="仿宋_GB2312" w:hAnsi="方正小标宋简体" w:eastAsia="仿宋_GB2312"/>
          <w:sz w:val="32"/>
          <w:szCs w:val="32"/>
        </w:rPr>
      </w:pPr>
      <w:r>
        <w:rPr>
          <w:rFonts w:hint="eastAsia" w:ascii="仿宋_GB2312" w:hAnsi="方正小标宋简体" w:eastAsia="仿宋_GB2312"/>
          <w:sz w:val="32"/>
          <w:szCs w:val="32"/>
        </w:rPr>
        <w:t>调查问卷的电脑链接地址：</w:t>
      </w:r>
    </w:p>
    <w:p w14:paraId="17E2AD5F">
      <w:pPr>
        <w:adjustRightInd w:val="0"/>
        <w:snapToGrid w:val="0"/>
        <w:spacing w:line="580" w:lineRule="exact"/>
        <w:jc w:val="center"/>
        <w:rPr>
          <w:rFonts w:hint="eastAsia" w:ascii="仿宋_GB2312" w:hAnsi="方正小标宋简体" w:eastAsia="仿宋_GB2312"/>
          <w:sz w:val="32"/>
          <w:szCs w:val="32"/>
        </w:rPr>
      </w:pPr>
      <w:r>
        <w:rPr>
          <w:rFonts w:hint="eastAsia" w:ascii="仿宋_GB2312" w:hAnsi="方正小标宋简体" w:eastAsia="仿宋_GB2312"/>
          <w:sz w:val="32"/>
          <w:szCs w:val="32"/>
        </w:rPr>
        <w:t>https://www.wjx.cn/vm/mc53h1R.aspx</w:t>
      </w:r>
    </w:p>
    <w:p w14:paraId="2E02D4B4">
      <w:pPr>
        <w:adjustRightInd w:val="0"/>
        <w:snapToGrid w:val="0"/>
        <w:spacing w:line="580" w:lineRule="exact"/>
        <w:jc w:val="center"/>
        <w:rPr>
          <w:rFonts w:hint="eastAsia" w:ascii="仿宋_GB2312" w:hAnsi="方正小标宋简体" w:eastAsia="仿宋_GB2312"/>
          <w:sz w:val="32"/>
          <w:szCs w:val="32"/>
        </w:rPr>
      </w:pPr>
      <w:r>
        <w:rPr>
          <w:rFonts w:hint="eastAsia" w:ascii="仿宋_GB2312" w:hAnsi="方正小标宋简体" w:eastAsia="仿宋_GB2312"/>
          <w:sz w:val="32"/>
          <w:szCs w:val="32"/>
        </w:rPr>
        <w:t>调查问卷的手机链接的二维码：</w:t>
      </w:r>
    </w:p>
    <w:p w14:paraId="00D7EDCF">
      <w:pPr>
        <w:adjustRightInd w:val="0"/>
        <w:snapToGrid w:val="0"/>
        <w:spacing w:line="580" w:lineRule="exact"/>
        <w:jc w:val="left"/>
        <w:rPr>
          <w:rFonts w:hint="eastAsia" w:ascii="仿宋_GB2312" w:hAnsi="方正小标宋简体" w:eastAsia="仿宋_GB2312"/>
          <w:sz w:val="32"/>
          <w:szCs w:val="32"/>
        </w:rPr>
      </w:pPr>
    </w:p>
    <w:p w14:paraId="6DBD7165">
      <w:pPr>
        <w:widowControl/>
        <w:jc w:val="center"/>
        <w:rPr>
          <w:rFonts w:hint="eastAsia" w:ascii="仿宋_GB2312" w:hAnsi="方正小标宋简体" w:eastAsia="仿宋_GB2312"/>
          <w:sz w:val="32"/>
          <w:szCs w:val="32"/>
        </w:rPr>
      </w:pPr>
      <w:r>
        <w:rPr>
          <w:rFonts w:ascii="仿宋_GB2312" w:hAnsi="方正小标宋简体" w:eastAsia="仿宋_GB2312"/>
          <w:sz w:val="32"/>
          <w:szCs w:val="32"/>
        </w:rPr>
        <w:drawing>
          <wp:inline distT="0" distB="0" distL="0" distR="0">
            <wp:extent cx="2671445" cy="2671445"/>
            <wp:effectExtent l="0" t="0" r="0" b="0"/>
            <wp:docPr id="17940287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028784"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675734" cy="2675734"/>
                    </a:xfrm>
                    <a:prstGeom prst="rect">
                      <a:avLst/>
                    </a:prstGeom>
                    <a:noFill/>
                    <a:ln>
                      <a:noFill/>
                    </a:ln>
                  </pic:spPr>
                </pic:pic>
              </a:graphicData>
            </a:graphic>
          </wp:inline>
        </w:drawing>
      </w:r>
      <w:r>
        <w:rPr>
          <w:rFonts w:ascii="仿宋_GB2312" w:hAnsi="方正小标宋简体" w:eastAsia="仿宋_GB2312"/>
          <w:sz w:val="32"/>
          <w:szCs w:val="32"/>
        </w:rPr>
        <w:br w:type="page"/>
      </w:r>
    </w:p>
    <w:p w14:paraId="4713CF2B">
      <w:pPr>
        <w:snapToGrid w:val="0"/>
        <w:jc w:val="center"/>
        <w:rPr>
          <w:rFonts w:ascii="Times New Roman" w:hAnsi="Times New Roman" w:eastAsia="方正小标宋简体"/>
          <w:bCs/>
          <w:sz w:val="44"/>
          <w:szCs w:val="44"/>
        </w:rPr>
      </w:pPr>
      <w:r>
        <w:rPr>
          <w:rFonts w:hint="eastAsia" w:ascii="Times New Roman" w:hAnsi="Times New Roman" w:eastAsia="方正小标宋简体"/>
          <w:bCs/>
          <w:sz w:val="44"/>
          <w:szCs w:val="44"/>
        </w:rPr>
        <w:t>知识产权出资资产评估</w:t>
      </w:r>
      <w:r>
        <w:rPr>
          <w:rFonts w:ascii="Times New Roman" w:hAnsi="Times New Roman" w:eastAsia="方正小标宋简体"/>
          <w:bCs/>
          <w:sz w:val="44"/>
          <w:szCs w:val="44"/>
        </w:rPr>
        <w:t>调查问卷</w:t>
      </w:r>
    </w:p>
    <w:p w14:paraId="3A941BBA">
      <w:pPr>
        <w:adjustRightInd w:val="0"/>
        <w:snapToGrid w:val="0"/>
        <w:spacing w:line="560" w:lineRule="exact"/>
        <w:ind w:firstLine="640" w:firstLineChars="200"/>
        <w:rPr>
          <w:rFonts w:hint="eastAsia" w:ascii="仿宋_GB2312" w:hAnsi="仿宋_GB2312" w:eastAsia="仿宋_GB2312" w:cs="仿宋_GB2312"/>
          <w:bCs/>
          <w:kern w:val="0"/>
          <w:sz w:val="32"/>
          <w:szCs w:val="32"/>
        </w:rPr>
      </w:pPr>
    </w:p>
    <w:p w14:paraId="5345D1A5">
      <w:pPr>
        <w:adjustRightInd w:val="0"/>
        <w:snapToGrid w:val="0"/>
        <w:spacing w:line="56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为了掌握资产评估机构开展知识产权出资资产评估业务实际情况，有效防范知识产权出资资产评估风险、规范知识产权出资资产评估执业行为，保护资产评估当事人合法权益和公共利益。在</w:t>
      </w:r>
      <w:bookmarkStart w:id="0" w:name="_Hlk204779193"/>
      <w:r>
        <w:rPr>
          <w:rFonts w:hint="eastAsia" w:ascii="仿宋_GB2312" w:hAnsi="仿宋_GB2312" w:eastAsia="仿宋_GB2312" w:cs="仿宋_GB2312"/>
          <w:bCs/>
          <w:kern w:val="0"/>
          <w:sz w:val="32"/>
          <w:szCs w:val="32"/>
        </w:rPr>
        <w:t>中国资产评估协会</w:t>
      </w:r>
      <w:bookmarkEnd w:id="0"/>
      <w:r>
        <w:rPr>
          <w:rFonts w:hint="eastAsia" w:ascii="仿宋_GB2312" w:hAnsi="仿宋_GB2312" w:eastAsia="仿宋_GB2312" w:cs="仿宋_GB2312"/>
          <w:bCs/>
          <w:kern w:val="0"/>
          <w:sz w:val="32"/>
          <w:szCs w:val="32"/>
        </w:rPr>
        <w:t>指导下，中国资产评估协会知识产权无形资产评估专业委员会按照年度工作计划，对知识产权出资资产评估有关问题开展问卷调查，请各资产评估机构、各位资产评估师以及专家认真研究、仔细填写。感谢您的支持与配合!</w:t>
      </w:r>
    </w:p>
    <w:p w14:paraId="613D490B">
      <w:pPr>
        <w:adjustRightInd w:val="0"/>
        <w:snapToGrid w:val="0"/>
        <w:spacing w:line="560" w:lineRule="exact"/>
        <w:ind w:firstLine="640" w:firstLineChars="200"/>
        <w:rPr>
          <w:rFonts w:hint="eastAsia" w:ascii="仿宋_GB2312" w:hAnsi="方正小标宋简体" w:eastAsia="仿宋_GB2312"/>
          <w:sz w:val="32"/>
          <w:szCs w:val="32"/>
          <w:u w:val="single"/>
        </w:rPr>
      </w:pPr>
      <w:r>
        <w:rPr>
          <w:rFonts w:hint="eastAsia" w:ascii="仿宋_GB2312" w:hAnsi="方正小标宋简体" w:eastAsia="仿宋_GB2312"/>
          <w:sz w:val="32"/>
          <w:szCs w:val="32"/>
        </w:rPr>
        <w:t>填报人姓名：</w:t>
      </w:r>
      <w:r>
        <w:rPr>
          <w:rFonts w:hint="eastAsia" w:ascii="仿宋_GB2312" w:hAnsi="方正小标宋简体" w:eastAsia="仿宋_GB2312"/>
          <w:sz w:val="32"/>
          <w:szCs w:val="32"/>
          <w:u w:val="single"/>
        </w:rPr>
        <w:t xml:space="preserve">                                 </w:t>
      </w:r>
    </w:p>
    <w:p w14:paraId="0B18D75F">
      <w:pPr>
        <w:adjustRightInd w:val="0"/>
        <w:snapToGrid w:val="0"/>
        <w:spacing w:line="560" w:lineRule="exact"/>
        <w:ind w:firstLine="640" w:firstLineChars="200"/>
        <w:rPr>
          <w:rFonts w:hint="eastAsia" w:ascii="仿宋_GB2312" w:hAnsi="方正小标宋简体" w:eastAsia="仿宋_GB2312"/>
          <w:sz w:val="32"/>
          <w:szCs w:val="32"/>
          <w:u w:val="single"/>
        </w:rPr>
      </w:pPr>
      <w:r>
        <w:rPr>
          <w:rFonts w:hint="eastAsia" w:ascii="仿宋_GB2312" w:hAnsi="方正小标宋简体" w:eastAsia="仿宋_GB2312"/>
          <w:sz w:val="32"/>
          <w:szCs w:val="32"/>
        </w:rPr>
        <w:t>填报人单位：</w:t>
      </w:r>
      <w:r>
        <w:rPr>
          <w:rFonts w:hint="eastAsia" w:ascii="仿宋_GB2312" w:hAnsi="方正小标宋简体" w:eastAsia="仿宋_GB2312"/>
          <w:sz w:val="32"/>
          <w:szCs w:val="32"/>
          <w:u w:val="single"/>
        </w:rPr>
        <w:t xml:space="preserve">                                 </w:t>
      </w:r>
    </w:p>
    <w:p w14:paraId="4D776221">
      <w:pPr>
        <w:adjustRightInd w:val="0"/>
        <w:snapToGrid w:val="0"/>
        <w:spacing w:line="560" w:lineRule="exact"/>
        <w:ind w:firstLine="640" w:firstLineChars="200"/>
        <w:rPr>
          <w:rFonts w:hint="eastAsia" w:ascii="仿宋_GB2312" w:hAnsi="方正小标宋简体" w:eastAsia="仿宋_GB2312"/>
          <w:sz w:val="32"/>
          <w:szCs w:val="32"/>
        </w:rPr>
      </w:pPr>
      <w:r>
        <w:rPr>
          <w:rFonts w:hint="eastAsia" w:ascii="仿宋_GB2312" w:hAnsi="方正小标宋简体" w:eastAsia="仿宋_GB2312"/>
          <w:sz w:val="32"/>
          <w:szCs w:val="32"/>
        </w:rPr>
        <w:t>填报人职务：</w:t>
      </w:r>
      <w:r>
        <w:rPr>
          <w:rFonts w:hint="eastAsia" w:ascii="仿宋_GB2312" w:hAnsi="方正小标宋简体" w:eastAsia="仿宋_GB2312"/>
          <w:sz w:val="32"/>
          <w:szCs w:val="32"/>
          <w:u w:val="single"/>
        </w:rPr>
        <w:t xml:space="preserve">                                 </w:t>
      </w:r>
    </w:p>
    <w:p w14:paraId="1A2B5820">
      <w:pPr>
        <w:adjustRightInd w:val="0"/>
        <w:snapToGrid w:val="0"/>
        <w:spacing w:line="560" w:lineRule="exact"/>
        <w:ind w:firstLine="640" w:firstLineChars="200"/>
        <w:rPr>
          <w:rFonts w:hint="eastAsia" w:ascii="仿宋_GB2312" w:hAnsi="方正小标宋简体" w:eastAsia="仿宋_GB2312"/>
          <w:sz w:val="32"/>
          <w:szCs w:val="32"/>
          <w:u w:val="single"/>
        </w:rPr>
      </w:pPr>
      <w:r>
        <w:rPr>
          <w:rFonts w:hint="eastAsia" w:ascii="仿宋_GB2312" w:hAnsi="方正小标宋简体" w:eastAsia="仿宋_GB2312"/>
          <w:sz w:val="32"/>
          <w:szCs w:val="32"/>
        </w:rPr>
        <w:t>填报人联系方式：</w:t>
      </w:r>
      <w:r>
        <w:rPr>
          <w:rFonts w:hint="eastAsia" w:ascii="仿宋_GB2312" w:hAnsi="方正小标宋简体" w:eastAsia="仿宋_GB2312"/>
          <w:sz w:val="32"/>
          <w:szCs w:val="32"/>
          <w:u w:val="single"/>
        </w:rPr>
        <w:t xml:space="preserve">                             </w:t>
      </w:r>
    </w:p>
    <w:p w14:paraId="5B5DF92B">
      <w:pPr>
        <w:adjustRightInd w:val="0"/>
        <w:spacing w:line="560" w:lineRule="exact"/>
        <w:ind w:firstLine="640" w:firstLineChars="200"/>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1.执行知识产权出资评估业务时，您遇到哪些主要问题？（多选）</w:t>
      </w:r>
    </w:p>
    <w:p w14:paraId="5FA35F9B">
      <w:pPr>
        <w:adjustRightInd w:val="0"/>
        <w:spacing w:line="560" w:lineRule="exact"/>
        <w:ind w:firstLine="640" w:firstLineChars="200"/>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A、相关准则和法律还不够完善</w:t>
      </w:r>
    </w:p>
    <w:p w14:paraId="0842C25C">
      <w:pPr>
        <w:adjustRightInd w:val="0"/>
        <w:spacing w:line="560" w:lineRule="exact"/>
        <w:ind w:firstLine="640" w:firstLineChars="200"/>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B、企业行为不规范，评估师面临较大风险</w:t>
      </w:r>
    </w:p>
    <w:p w14:paraId="0B6D16E1">
      <w:pPr>
        <w:adjustRightInd w:val="0"/>
        <w:spacing w:line="560" w:lineRule="exact"/>
        <w:ind w:firstLine="640" w:firstLineChars="200"/>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C、对评估方法与参数难以作出恰当的选择</w:t>
      </w:r>
    </w:p>
    <w:p w14:paraId="3EBD1A02">
      <w:pPr>
        <w:adjustRightInd w:val="0"/>
        <w:spacing w:line="560" w:lineRule="exact"/>
        <w:ind w:firstLine="640" w:firstLineChars="200"/>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D、客户提供的资料与数据不足</w:t>
      </w:r>
    </w:p>
    <w:p w14:paraId="16EAB0B5">
      <w:pPr>
        <w:adjustRightInd w:val="0"/>
        <w:spacing w:line="560" w:lineRule="exact"/>
        <w:ind w:firstLine="640" w:firstLineChars="200"/>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E、难以独立地获取评估依据的信息</w:t>
      </w:r>
    </w:p>
    <w:p w14:paraId="0D3764A5">
      <w:pPr>
        <w:adjustRightInd w:val="0"/>
        <w:spacing w:line="560" w:lineRule="exact"/>
        <w:ind w:firstLine="640" w:firstLineChars="200"/>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F、评估机构之间的恶性竞争</w:t>
      </w:r>
    </w:p>
    <w:p w14:paraId="05344BCB">
      <w:pPr>
        <w:adjustRightInd w:val="0"/>
        <w:spacing w:line="560" w:lineRule="exact"/>
        <w:ind w:firstLine="640" w:firstLineChars="200"/>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G、缺乏评估师执业的责任鉴定机制</w:t>
      </w:r>
    </w:p>
    <w:p w14:paraId="77EED895">
      <w:pPr>
        <w:adjustRightInd w:val="0"/>
        <w:spacing w:line="560" w:lineRule="exact"/>
        <w:ind w:firstLine="640" w:firstLineChars="200"/>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H、缺乏知识产权出资评估机构监督机制</w:t>
      </w:r>
    </w:p>
    <w:p w14:paraId="5831458A">
      <w:pPr>
        <w:adjustRightInd w:val="0"/>
        <w:spacing w:line="560" w:lineRule="exact"/>
        <w:ind w:firstLine="640" w:firstLineChars="200"/>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I、知识产权评估从业人员的执业能力不足</w:t>
      </w:r>
    </w:p>
    <w:p w14:paraId="1B9CF6F0">
      <w:pPr>
        <w:adjustRightInd w:val="0"/>
        <w:spacing w:line="560" w:lineRule="exact"/>
        <w:ind w:firstLine="640" w:firstLineChars="200"/>
        <w:textAlignment w:val="baseline"/>
        <w:rPr>
          <w:rFonts w:hint="eastAsia" w:ascii="仿宋_GB2312" w:hAnsi="仿宋_GB2312" w:eastAsia="仿宋_GB2312" w:cs="仿宋_GB2312"/>
          <w:bCs/>
          <w:kern w:val="0"/>
          <w:sz w:val="32"/>
          <w:szCs w:val="32"/>
          <w:u w:val="single"/>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J、其他</w:t>
      </w:r>
      <w:r>
        <w:rPr>
          <w:rFonts w:hint="eastAsia" w:ascii="仿宋_GB2312" w:hAnsi="仿宋_GB2312" w:eastAsia="仿宋_GB2312" w:cs="仿宋_GB2312"/>
          <w:bCs/>
          <w:kern w:val="0"/>
          <w:sz w:val="32"/>
          <w:szCs w:val="32"/>
          <w:u w:val="single"/>
        </w:rPr>
        <w:t xml:space="preserve">                        </w:t>
      </w:r>
    </w:p>
    <w:p w14:paraId="5E6D9BD8">
      <w:pPr>
        <w:adjustRightInd w:val="0"/>
        <w:spacing w:line="560" w:lineRule="exact"/>
        <w:ind w:firstLine="640" w:firstLineChars="200"/>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2.在评估实践案例中，经常出现中介机构为企业搭桥，购买知识产权并经评估后，将知识产权以“虚高作价"的方式出资，用以完成注册资本缴纳的情形，您认为资产评估机构承接此类业务时是否存在风险？</w:t>
      </w:r>
    </w:p>
    <w:p w14:paraId="29D5928B">
      <w:pPr>
        <w:adjustRightInd w:val="0"/>
        <w:spacing w:line="560" w:lineRule="exact"/>
        <w:ind w:firstLine="640" w:firstLineChars="200"/>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A、是</w:t>
      </w:r>
    </w:p>
    <w:p w14:paraId="6DAC212F">
      <w:pPr>
        <w:adjustRightInd w:val="0"/>
        <w:spacing w:line="560" w:lineRule="exact"/>
        <w:ind w:firstLine="640" w:firstLineChars="200"/>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B、否</w:t>
      </w:r>
    </w:p>
    <w:p w14:paraId="283FD90A">
      <w:pPr>
        <w:adjustRightInd w:val="0"/>
        <w:spacing w:line="560" w:lineRule="exact"/>
        <w:ind w:firstLine="640" w:firstLineChars="200"/>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3.执行知识产权出资资产评估业务时，您是否了解哪些知识产权可以进行出资？</w:t>
      </w:r>
    </w:p>
    <w:p w14:paraId="701AD90D">
      <w:pPr>
        <w:adjustRightInd w:val="0"/>
        <w:spacing w:line="560" w:lineRule="exact"/>
        <w:ind w:firstLine="640" w:firstLineChars="200"/>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A、是</w:t>
      </w:r>
    </w:p>
    <w:p w14:paraId="602CD581">
      <w:pPr>
        <w:adjustRightInd w:val="0"/>
        <w:spacing w:line="560" w:lineRule="exact"/>
        <w:ind w:firstLine="640" w:firstLineChars="200"/>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B、否</w:t>
      </w:r>
    </w:p>
    <w:p w14:paraId="7ACB0D08">
      <w:pPr>
        <w:adjustRightInd w:val="0"/>
        <w:spacing w:line="560" w:lineRule="exact"/>
        <w:ind w:firstLine="640" w:firstLineChars="200"/>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4.执行知识产权出资资产评估业务时，您认为知识产权使用权、申请权是否可以进行出资？</w:t>
      </w:r>
    </w:p>
    <w:p w14:paraId="78BD7993">
      <w:pPr>
        <w:adjustRightInd w:val="0"/>
        <w:spacing w:line="560" w:lineRule="exact"/>
        <w:ind w:firstLine="640" w:firstLineChars="200"/>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A、是</w:t>
      </w:r>
    </w:p>
    <w:p w14:paraId="6517C79C">
      <w:pPr>
        <w:adjustRightInd w:val="0"/>
        <w:spacing w:line="560" w:lineRule="exact"/>
        <w:ind w:firstLine="640" w:firstLineChars="200"/>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B、否</w:t>
      </w:r>
    </w:p>
    <w:p w14:paraId="5F4F8F6A">
      <w:pPr>
        <w:adjustRightInd w:val="0"/>
        <w:spacing w:line="560" w:lineRule="exact"/>
        <w:ind w:firstLine="640" w:firstLineChars="200"/>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5.执行知识产权出资资产评估业务时，您认为知识产权使用权、申请权出资是否存在地域限制及法律法规限制？</w:t>
      </w:r>
    </w:p>
    <w:p w14:paraId="5EC44A4E">
      <w:pPr>
        <w:adjustRightInd w:val="0"/>
        <w:spacing w:line="560" w:lineRule="exact"/>
        <w:ind w:firstLine="640" w:firstLineChars="200"/>
        <w:textAlignment w:val="baseline"/>
        <w:rPr>
          <w:rFonts w:hint="eastAsia" w:ascii="仿宋_GB2312" w:hAnsi="仿宋_GB2312" w:eastAsia="仿宋_GB2312" w:cs="仿宋_GB2312"/>
          <w:bCs/>
          <w:kern w:val="0"/>
          <w:sz w:val="32"/>
          <w:szCs w:val="32"/>
          <w:u w:val="single"/>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A、是</w:t>
      </w:r>
    </w:p>
    <w:p w14:paraId="625303E7">
      <w:pPr>
        <w:adjustRightInd w:val="0"/>
        <w:spacing w:line="560" w:lineRule="exact"/>
        <w:ind w:firstLine="640" w:firstLineChars="200"/>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B、否</w:t>
      </w:r>
    </w:p>
    <w:p w14:paraId="7502717A">
      <w:pPr>
        <w:adjustRightInd w:val="0"/>
        <w:spacing w:line="560" w:lineRule="exact"/>
        <w:ind w:firstLine="640" w:firstLineChars="200"/>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6.执行知识产权出资资产评估业务时，您是否考虑知识产权使用权和所有权评估的差异？</w:t>
      </w:r>
    </w:p>
    <w:p w14:paraId="09C6AA4C">
      <w:pPr>
        <w:adjustRightInd w:val="0"/>
        <w:spacing w:line="560" w:lineRule="exact"/>
        <w:ind w:firstLine="640" w:firstLineChars="200"/>
        <w:textAlignment w:val="baseline"/>
        <w:rPr>
          <w:rFonts w:hint="eastAsia" w:ascii="仿宋_GB2312" w:hAnsi="仿宋_GB2312" w:eastAsia="仿宋_GB2312" w:cs="仿宋_GB2312"/>
          <w:bCs/>
          <w:kern w:val="0"/>
          <w:sz w:val="32"/>
          <w:szCs w:val="32"/>
          <w:u w:val="single"/>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A、是</w:t>
      </w:r>
    </w:p>
    <w:p w14:paraId="52CB3410">
      <w:pPr>
        <w:adjustRightInd w:val="0"/>
        <w:spacing w:line="560" w:lineRule="exact"/>
        <w:ind w:firstLine="640" w:firstLineChars="200"/>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B、否</w:t>
      </w:r>
    </w:p>
    <w:p w14:paraId="5FC10FE3">
      <w:pPr>
        <w:adjustRightInd w:val="0"/>
        <w:spacing w:line="560" w:lineRule="exact"/>
        <w:ind w:firstLine="640" w:firstLineChars="200"/>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7.执行知识产权出资资产评估业务时，著作权涉及多种人身和财产权利，您是否清楚哪些著作权权利可以进行评估？</w:t>
      </w:r>
    </w:p>
    <w:p w14:paraId="02128DE1">
      <w:pPr>
        <w:adjustRightInd w:val="0"/>
        <w:spacing w:line="560" w:lineRule="exact"/>
        <w:ind w:firstLine="640" w:firstLineChars="200"/>
        <w:textAlignment w:val="baseline"/>
        <w:rPr>
          <w:rFonts w:hint="eastAsia" w:ascii="仿宋_GB2312" w:hAnsi="仿宋_GB2312" w:eastAsia="仿宋_GB2312" w:cs="仿宋_GB2312"/>
          <w:bCs/>
          <w:kern w:val="0"/>
          <w:sz w:val="32"/>
          <w:szCs w:val="32"/>
          <w:u w:val="single"/>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A、是</w:t>
      </w:r>
    </w:p>
    <w:p w14:paraId="611A6D79">
      <w:pPr>
        <w:adjustRightInd w:val="0"/>
        <w:spacing w:line="560" w:lineRule="exact"/>
        <w:ind w:firstLine="640" w:firstLineChars="200"/>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B、否</w:t>
      </w:r>
    </w:p>
    <w:p w14:paraId="19D0ED20">
      <w:pPr>
        <w:adjustRightInd w:val="0"/>
        <w:spacing w:line="560" w:lineRule="exact"/>
        <w:ind w:firstLine="640" w:firstLineChars="200"/>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8.执行知识产权出资资产评估业务时，您是否关注知识产权资产的法律状况？</w:t>
      </w:r>
    </w:p>
    <w:p w14:paraId="4DF2DBEB">
      <w:pPr>
        <w:adjustRightInd w:val="0"/>
        <w:spacing w:line="560" w:lineRule="exact"/>
        <w:ind w:firstLine="640" w:firstLineChars="200"/>
        <w:textAlignment w:val="baseline"/>
        <w:rPr>
          <w:rFonts w:hint="eastAsia" w:ascii="仿宋_GB2312" w:hAnsi="仿宋_GB2312" w:eastAsia="仿宋_GB2312" w:cs="仿宋_GB2312"/>
          <w:bCs/>
          <w:kern w:val="0"/>
          <w:sz w:val="32"/>
          <w:szCs w:val="32"/>
          <w:u w:val="single"/>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A、是</w:t>
      </w:r>
    </w:p>
    <w:p w14:paraId="1A7E263C">
      <w:pPr>
        <w:adjustRightInd w:val="0"/>
        <w:spacing w:line="560" w:lineRule="exact"/>
        <w:ind w:firstLine="640" w:firstLineChars="200"/>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B、否</w:t>
      </w:r>
    </w:p>
    <w:p w14:paraId="5A1DB285">
      <w:pPr>
        <w:adjustRightInd w:val="0"/>
        <w:spacing w:line="560" w:lineRule="exact"/>
        <w:ind w:firstLine="640" w:firstLineChars="200"/>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9.执行知识产权出资资产评估业务时，由于专利类型不同，其专利权利的稳定性存在差异，您认为要求委托人提供专利检索报告是否必要？</w:t>
      </w:r>
    </w:p>
    <w:p w14:paraId="1ADC5093">
      <w:pPr>
        <w:adjustRightInd w:val="0"/>
        <w:spacing w:line="560" w:lineRule="exact"/>
        <w:ind w:firstLine="640" w:firstLineChars="200"/>
        <w:textAlignment w:val="baseline"/>
        <w:rPr>
          <w:rFonts w:hint="eastAsia" w:ascii="仿宋_GB2312" w:hAnsi="仿宋_GB2312" w:eastAsia="仿宋_GB2312" w:cs="仿宋_GB2312"/>
          <w:bCs/>
          <w:kern w:val="0"/>
          <w:sz w:val="32"/>
          <w:szCs w:val="32"/>
          <w:u w:val="single"/>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A、是</w:t>
      </w:r>
    </w:p>
    <w:p w14:paraId="76527716">
      <w:pPr>
        <w:adjustRightInd w:val="0"/>
        <w:spacing w:line="560" w:lineRule="exact"/>
        <w:ind w:firstLine="640" w:firstLineChars="200"/>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B、否</w:t>
      </w:r>
    </w:p>
    <w:p w14:paraId="3948BE31">
      <w:pPr>
        <w:adjustRightInd w:val="0"/>
        <w:spacing w:line="560" w:lineRule="exact"/>
        <w:ind w:firstLine="640" w:firstLineChars="200"/>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C、根据实际情况而定</w:t>
      </w:r>
    </w:p>
    <w:p w14:paraId="20F3D21A">
      <w:pPr>
        <w:widowControl/>
        <w:spacing w:line="560" w:lineRule="exact"/>
        <w:ind w:right="60"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10.处于研发阶段的知识产权，由于尚未生产产品和产生收益，其市场前景存在较大的不确定性。采用收益法评估时，您认为是否可以利用知识产权实施的可行性研究报告、商业计划预测未来收益？</w:t>
      </w:r>
    </w:p>
    <w:p w14:paraId="6FA66E19">
      <w:pPr>
        <w:adjustRightInd w:val="0"/>
        <w:spacing w:line="560" w:lineRule="exact"/>
        <w:ind w:firstLine="640" w:firstLineChars="200"/>
        <w:textAlignment w:val="baseline"/>
        <w:rPr>
          <w:rFonts w:hint="eastAsia" w:ascii="仿宋_GB2312" w:hAnsi="仿宋_GB2312" w:eastAsia="仿宋_GB2312" w:cs="仿宋_GB2312"/>
          <w:bCs/>
          <w:kern w:val="0"/>
          <w:sz w:val="32"/>
          <w:szCs w:val="32"/>
          <w:u w:val="single"/>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A、是</w:t>
      </w:r>
    </w:p>
    <w:p w14:paraId="020C547B">
      <w:pPr>
        <w:adjustRightInd w:val="0"/>
        <w:spacing w:line="560" w:lineRule="exact"/>
        <w:ind w:firstLine="640" w:firstLineChars="200"/>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B、否</w:t>
      </w:r>
    </w:p>
    <w:p w14:paraId="0C753705">
      <w:pPr>
        <w:widowControl/>
        <w:spacing w:line="560" w:lineRule="exact"/>
        <w:ind w:right="60"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11.处于研发阶段的知识产权，采用成本法评估时，您是否关注知识产权的先进性、可实施性以及市场前景？</w:t>
      </w:r>
    </w:p>
    <w:p w14:paraId="162DF201">
      <w:pPr>
        <w:widowControl/>
        <w:spacing w:line="560" w:lineRule="exact"/>
        <w:ind w:right="60"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A、是</w:t>
      </w:r>
    </w:p>
    <w:p w14:paraId="5CA817FF">
      <w:pPr>
        <w:widowControl/>
        <w:spacing w:line="560" w:lineRule="exact"/>
        <w:ind w:right="60"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B、否</w:t>
      </w:r>
    </w:p>
    <w:p w14:paraId="4F76F7A1">
      <w:pPr>
        <w:widowControl/>
        <w:spacing w:line="560" w:lineRule="exact"/>
        <w:ind w:right="60"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12.处于研发阶段的知识产权，由于可比性差或市场交易不活跃等因素的影响，往往难以获取必要的市场信息。在执行知识产权资产评估业务时，您是否采用过市场法？</w:t>
      </w:r>
    </w:p>
    <w:p w14:paraId="77086F1F">
      <w:pPr>
        <w:widowControl/>
        <w:spacing w:line="560" w:lineRule="exact"/>
        <w:ind w:right="60"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A、是</w:t>
      </w:r>
    </w:p>
    <w:p w14:paraId="5F51E379">
      <w:pPr>
        <w:widowControl/>
        <w:spacing w:line="560" w:lineRule="exact"/>
        <w:ind w:right="60"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B、否</w:t>
      </w:r>
    </w:p>
    <w:p w14:paraId="21023216">
      <w:pPr>
        <w:adjustRightInd w:val="0"/>
        <w:spacing w:line="560" w:lineRule="exact"/>
        <w:ind w:firstLine="640" w:firstLineChars="200"/>
        <w:textAlignment w:val="baseline"/>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13.执行知识产权资产评估业务时，母公司拥有知识产权许可授权其子公司并产生的收益，在测算其收益时，您是否考虑合并口径？</w:t>
      </w:r>
    </w:p>
    <w:p w14:paraId="256C596D">
      <w:pPr>
        <w:widowControl/>
        <w:spacing w:line="560" w:lineRule="exact"/>
        <w:ind w:right="60"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A、是</w:t>
      </w:r>
    </w:p>
    <w:p w14:paraId="22BE307C">
      <w:pPr>
        <w:widowControl/>
        <w:spacing w:line="560" w:lineRule="exact"/>
        <w:ind w:right="60"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B、否</w:t>
      </w:r>
    </w:p>
    <w:p w14:paraId="63417ED3">
      <w:pPr>
        <w:widowControl/>
        <w:spacing w:line="560" w:lineRule="exact"/>
        <w:ind w:right="60"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14.知识产权资产收益通常有销售收入口径、现金流口径、利润口径三种计量口径。在选择收益口径时，您是否关注税前税后收益口径？</w:t>
      </w:r>
    </w:p>
    <w:p w14:paraId="6DC67528">
      <w:pPr>
        <w:widowControl/>
        <w:spacing w:line="560" w:lineRule="exact"/>
        <w:ind w:right="60"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A、是</w:t>
      </w:r>
    </w:p>
    <w:p w14:paraId="2A8C160E">
      <w:pPr>
        <w:widowControl/>
        <w:spacing w:line="560" w:lineRule="exact"/>
        <w:ind w:right="60"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B、否</w:t>
      </w:r>
    </w:p>
    <w:p w14:paraId="70964974">
      <w:pPr>
        <w:widowControl/>
        <w:spacing w:line="560" w:lineRule="exact"/>
        <w:ind w:right="60"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15.执行知识产权资产评估业务时，您是否考虑过企业产品、服务与知识产权的对应性（知识产权对应哪些产品和服务）?</w:t>
      </w:r>
    </w:p>
    <w:p w14:paraId="3475C100">
      <w:pPr>
        <w:widowControl/>
        <w:spacing w:line="560" w:lineRule="exact"/>
        <w:ind w:right="60"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A、是</w:t>
      </w:r>
    </w:p>
    <w:p w14:paraId="74CF5042">
      <w:pPr>
        <w:widowControl/>
        <w:spacing w:line="560" w:lineRule="exact"/>
        <w:ind w:right="60"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B、否</w:t>
      </w:r>
    </w:p>
    <w:p w14:paraId="4B85A371">
      <w:pPr>
        <w:spacing w:line="56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16.执行知识产权资产评估业务时，您是否考虑使用国家知识产权局发布的《专利开放许可使用费估算指引(试行) 》附件2:“十三五”国民经济行业专利实施普通许可统计表中的数据测算分成率？</w:t>
      </w:r>
    </w:p>
    <w:p w14:paraId="3300D7E1">
      <w:pPr>
        <w:widowControl/>
        <w:spacing w:line="560" w:lineRule="exact"/>
        <w:ind w:right="60"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A、是</w:t>
      </w:r>
    </w:p>
    <w:p w14:paraId="7D90A4F8">
      <w:pPr>
        <w:widowControl/>
        <w:spacing w:line="560" w:lineRule="exact"/>
        <w:ind w:right="60"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B、否</w:t>
      </w:r>
    </w:p>
    <w:p w14:paraId="731A01F8">
      <w:pPr>
        <w:spacing w:line="56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17.在知识产权资产出资评估实践中，各地区对知识产权使用权和申请权出资政策有不同的规定，部分地区存在一定限制，同时申请权出资也面临被驳回以及泄密风险，您是否考虑对知识产权使用权和申请权详细情况以及风险进行披露？</w:t>
      </w:r>
    </w:p>
    <w:p w14:paraId="6930AE4F">
      <w:pPr>
        <w:widowControl/>
        <w:spacing w:line="560" w:lineRule="exact"/>
        <w:ind w:right="60"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A、是</w:t>
      </w:r>
    </w:p>
    <w:p w14:paraId="1D73B863">
      <w:pPr>
        <w:widowControl/>
        <w:spacing w:line="560" w:lineRule="exact"/>
        <w:ind w:right="60"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B、否</w:t>
      </w:r>
    </w:p>
    <w:p w14:paraId="3103C9A0">
      <w:pPr>
        <w:spacing w:line="56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18.为了规范知识产权出资资产评估业务，您认为下列措施中哪些比较重要?（多选）</w:t>
      </w:r>
    </w:p>
    <w:p w14:paraId="433260BD">
      <w:pPr>
        <w:widowControl/>
        <w:spacing w:line="560" w:lineRule="exact"/>
        <w:ind w:right="60"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A、研究制定知识产权出资资产评估指导意见或专家指引</w:t>
      </w:r>
    </w:p>
    <w:p w14:paraId="08A15FAE">
      <w:pPr>
        <w:widowControl/>
        <w:spacing w:line="560" w:lineRule="exact"/>
        <w:ind w:right="60"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B、进一步完善知识产权出资相关法规和政策</w:t>
      </w:r>
    </w:p>
    <w:p w14:paraId="6918CC90">
      <w:pPr>
        <w:widowControl/>
        <w:spacing w:line="560" w:lineRule="exact"/>
        <w:ind w:right="60"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C、加强相关信息的公开与拓宽获取信息通道</w:t>
      </w:r>
    </w:p>
    <w:p w14:paraId="3394094A">
      <w:pPr>
        <w:widowControl/>
        <w:spacing w:line="560" w:lineRule="exact"/>
        <w:ind w:right="60"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D、强化知识产权出资资产评估的管理、引导和监督</w:t>
      </w:r>
    </w:p>
    <w:p w14:paraId="00DFBC85">
      <w:pPr>
        <w:widowControl/>
        <w:spacing w:line="560" w:lineRule="exact"/>
        <w:ind w:right="60"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E、提升知识产权评估从业人员的能力素质</w:t>
      </w:r>
    </w:p>
    <w:p w14:paraId="0CC47BF5">
      <w:pPr>
        <w:widowControl/>
        <w:spacing w:line="560" w:lineRule="exact"/>
        <w:ind w:right="60"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F、强化知识产权出资资产评估服务的诚信建设，例如：定期公布中介机构的诚信排名；建立黑名单制度等</w:t>
      </w:r>
    </w:p>
    <w:p w14:paraId="2367E5DB">
      <w:pPr>
        <w:widowControl/>
        <w:spacing w:line="560" w:lineRule="exact"/>
        <w:ind w:right="60" w:firstLine="640" w:firstLineChars="200"/>
        <w:rPr>
          <w:rFonts w:hint="eastAsia" w:ascii="仿宋_GB2312" w:hAnsi="仿宋_GB2312" w:eastAsia="仿宋_GB2312" w:cs="仿宋_GB2312"/>
          <w:bCs/>
          <w:kern w:val="0"/>
          <w:sz w:val="32"/>
          <w:szCs w:val="32"/>
          <w:u w:val="single"/>
        </w:rPr>
      </w:pPr>
      <w:r>
        <w:rPr>
          <w:rFonts w:hint="eastAsia" w:ascii="仿宋_GB2312" w:hAnsi="仿宋_GB2312" w:eastAsia="仿宋_GB2312" w:cs="仿宋_GB2312"/>
          <w:bCs/>
          <w:kern w:val="0"/>
          <w:sz w:val="32"/>
          <w:szCs w:val="32"/>
        </w:rPr>
        <w:sym w:font="Wingdings 2" w:char="00A3"/>
      </w:r>
      <w:r>
        <w:rPr>
          <w:rFonts w:hint="eastAsia" w:ascii="仿宋_GB2312" w:hAnsi="仿宋_GB2312" w:eastAsia="仿宋_GB2312" w:cs="仿宋_GB2312"/>
          <w:bCs/>
          <w:kern w:val="0"/>
          <w:sz w:val="32"/>
          <w:szCs w:val="32"/>
        </w:rPr>
        <w:t>G、其他</w:t>
      </w:r>
      <w:r>
        <w:rPr>
          <w:rFonts w:hint="eastAsia" w:ascii="仿宋_GB2312" w:hAnsi="仿宋_GB2312" w:eastAsia="仿宋_GB2312" w:cs="仿宋_GB2312"/>
          <w:bCs/>
          <w:kern w:val="0"/>
          <w:sz w:val="32"/>
          <w:szCs w:val="32"/>
          <w:u w:val="single"/>
        </w:rPr>
        <w:t xml:space="preserve">                    </w:t>
      </w:r>
    </w:p>
    <w:p w14:paraId="1846AEAC">
      <w:pPr>
        <w:spacing w:line="56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19.其它意见和建议:</w:t>
      </w:r>
    </w:p>
    <w:p w14:paraId="420CCDDC">
      <w:pPr>
        <w:ind w:firstLine="640" w:firstLineChars="200"/>
        <w:rPr>
          <w:rFonts w:ascii="Times New Roman" w:hAnsi="Times New Roman"/>
          <w:color w:val="000000"/>
          <w:szCs w:val="21"/>
        </w:rPr>
      </w:pPr>
      <w:r>
        <w:rPr>
          <w:rFonts w:hint="eastAsia" w:ascii="仿宋_GB2312" w:hAnsi="仿宋" w:eastAsia="仿宋_GB2312" w:cs="仿宋"/>
          <w:b/>
          <w:bCs/>
          <w:kern w:val="0"/>
          <w:sz w:val="32"/>
          <w:szCs w:val="32"/>
          <w:u w:val="single"/>
        </w:rPr>
        <w:t xml:space="preserve">                                                 </w:t>
      </w:r>
    </w:p>
    <w:p w14:paraId="675A8DDF">
      <w:pPr>
        <w:spacing w:line="600" w:lineRule="exact"/>
        <w:jc w:val="right"/>
      </w:pPr>
    </w:p>
    <w:sectPr>
      <w:footerReference r:id="rId3" w:type="default"/>
      <w:footerReference r:id="rId4" w:type="even"/>
      <w:pgSz w:w="11906" w:h="16838"/>
      <w:pgMar w:top="2098" w:right="1531" w:bottom="1985" w:left="1531" w:header="851" w:footer="1474"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960620ED-1977-4335-BB37-4C5258DBEC6C}"/>
  </w:font>
  <w:font w:name="方正小标宋简体">
    <w:panose1 w:val="02010600010101010101"/>
    <w:charset w:val="86"/>
    <w:family w:val="auto"/>
    <w:pitch w:val="default"/>
    <w:sig w:usb0="00000001" w:usb1="080E0000" w:usb2="00000000" w:usb3="00000000" w:csb0="00040000" w:csb1="00000000"/>
    <w:embedRegular r:id="rId2" w:fontKey="{1DA3F353-AECE-4645-96D0-FBFFF36B70D2}"/>
  </w:font>
  <w:font w:name="仿宋">
    <w:panose1 w:val="02010609060101010101"/>
    <w:charset w:val="86"/>
    <w:family w:val="modern"/>
    <w:pitch w:val="default"/>
    <w:sig w:usb0="800002BF" w:usb1="38CF7CFA" w:usb2="00000016" w:usb3="00000000" w:csb0="00040001" w:csb1="00000000"/>
    <w:embedRegular r:id="rId3" w:fontKey="{9D377414-F75D-46B5-B901-84DCEAA2F066}"/>
  </w:font>
  <w:font w:name="仿宋_GB2312">
    <w:panose1 w:val="02010609030101010101"/>
    <w:charset w:val="86"/>
    <w:family w:val="modern"/>
    <w:pitch w:val="default"/>
    <w:sig w:usb0="00000001" w:usb1="080E0000" w:usb2="00000000" w:usb3="00000000" w:csb0="00040000" w:csb1="00000000"/>
    <w:embedRegular r:id="rId4" w:fontKey="{ADC3E4F9-6E18-4CEB-B1B2-5E8D6D236891}"/>
  </w:font>
  <w:font w:name="Arial">
    <w:panose1 w:val="020B0604020202020204"/>
    <w:charset w:val="00"/>
    <w:family w:val="swiss"/>
    <w:pitch w:val="default"/>
    <w:sig w:usb0="E0002AFF" w:usb1="C0007843" w:usb2="00000009" w:usb3="00000000" w:csb0="400001FF" w:csb1="FFFF0000"/>
  </w:font>
  <w:font w:name="Wingdings 2">
    <w:panose1 w:val="05020102010507070707"/>
    <w:charset w:val="02"/>
    <w:family w:val="roman"/>
    <w:pitch w:val="default"/>
    <w:sig w:usb0="00000000" w:usb1="00000000" w:usb2="00000000" w:usb3="00000000" w:csb0="80000000" w:csb1="00000000"/>
    <w:embedRegular r:id="rId5" w:fontKey="{115C40BD-2CA2-41B8-8B88-3ABDE8B9800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5A0D3">
    <w:pPr>
      <w:pStyle w:val="3"/>
      <w:wordWrap w:val="0"/>
      <w:ind w:firstLine="280" w:firstLineChars="100"/>
      <w:jc w:val="right"/>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24616">
    <w:pPr>
      <w:pStyle w:val="3"/>
      <w:ind w:firstLine="280" w:firstLineChars="100"/>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493"/>
    <w:rsid w:val="00024B99"/>
    <w:rsid w:val="00025665"/>
    <w:rsid w:val="000461F9"/>
    <w:rsid w:val="0005488D"/>
    <w:rsid w:val="000630A8"/>
    <w:rsid w:val="000A5AE9"/>
    <w:rsid w:val="000A77B1"/>
    <w:rsid w:val="000B114D"/>
    <w:rsid w:val="000C493A"/>
    <w:rsid w:val="00105650"/>
    <w:rsid w:val="001059F9"/>
    <w:rsid w:val="001643C5"/>
    <w:rsid w:val="001702DF"/>
    <w:rsid w:val="001B7464"/>
    <w:rsid w:val="001D6D4B"/>
    <w:rsid w:val="001E0962"/>
    <w:rsid w:val="001F766A"/>
    <w:rsid w:val="001F7766"/>
    <w:rsid w:val="00207822"/>
    <w:rsid w:val="00220C11"/>
    <w:rsid w:val="00277C6D"/>
    <w:rsid w:val="00305953"/>
    <w:rsid w:val="00323867"/>
    <w:rsid w:val="0034191B"/>
    <w:rsid w:val="00363BA8"/>
    <w:rsid w:val="00372930"/>
    <w:rsid w:val="00377BDE"/>
    <w:rsid w:val="003A2386"/>
    <w:rsid w:val="003E4495"/>
    <w:rsid w:val="00412D6D"/>
    <w:rsid w:val="004158B4"/>
    <w:rsid w:val="004C54D5"/>
    <w:rsid w:val="004D302A"/>
    <w:rsid w:val="004E7D79"/>
    <w:rsid w:val="00501F59"/>
    <w:rsid w:val="005202A5"/>
    <w:rsid w:val="00540313"/>
    <w:rsid w:val="005741BE"/>
    <w:rsid w:val="00593B3C"/>
    <w:rsid w:val="00594116"/>
    <w:rsid w:val="005B7370"/>
    <w:rsid w:val="005C4B49"/>
    <w:rsid w:val="005F4ADA"/>
    <w:rsid w:val="005F4D49"/>
    <w:rsid w:val="005F4E72"/>
    <w:rsid w:val="0060115E"/>
    <w:rsid w:val="00623AAB"/>
    <w:rsid w:val="0063637A"/>
    <w:rsid w:val="00636AAB"/>
    <w:rsid w:val="00645BAD"/>
    <w:rsid w:val="00680AF1"/>
    <w:rsid w:val="00682957"/>
    <w:rsid w:val="006A3AB1"/>
    <w:rsid w:val="006B5D45"/>
    <w:rsid w:val="006D5094"/>
    <w:rsid w:val="007317D8"/>
    <w:rsid w:val="00735FFB"/>
    <w:rsid w:val="007613DC"/>
    <w:rsid w:val="00765DB5"/>
    <w:rsid w:val="0078230D"/>
    <w:rsid w:val="00791D6E"/>
    <w:rsid w:val="00796595"/>
    <w:rsid w:val="007A280F"/>
    <w:rsid w:val="007D5899"/>
    <w:rsid w:val="007E13B6"/>
    <w:rsid w:val="007E3B28"/>
    <w:rsid w:val="00831F7E"/>
    <w:rsid w:val="00833D71"/>
    <w:rsid w:val="00856E18"/>
    <w:rsid w:val="00875B86"/>
    <w:rsid w:val="0088365A"/>
    <w:rsid w:val="0089252B"/>
    <w:rsid w:val="008A271B"/>
    <w:rsid w:val="008A4F58"/>
    <w:rsid w:val="008D0617"/>
    <w:rsid w:val="008D6A9D"/>
    <w:rsid w:val="008E2216"/>
    <w:rsid w:val="008E2F9C"/>
    <w:rsid w:val="00900EF6"/>
    <w:rsid w:val="00914855"/>
    <w:rsid w:val="009156E8"/>
    <w:rsid w:val="00927C72"/>
    <w:rsid w:val="00942229"/>
    <w:rsid w:val="0097342D"/>
    <w:rsid w:val="009857CC"/>
    <w:rsid w:val="009C30F9"/>
    <w:rsid w:val="009F5084"/>
    <w:rsid w:val="009F69E9"/>
    <w:rsid w:val="00A1370F"/>
    <w:rsid w:val="00A2387B"/>
    <w:rsid w:val="00A46CA4"/>
    <w:rsid w:val="00A609F1"/>
    <w:rsid w:val="00AB17B9"/>
    <w:rsid w:val="00AE6995"/>
    <w:rsid w:val="00B13241"/>
    <w:rsid w:val="00B16C7A"/>
    <w:rsid w:val="00B37E1A"/>
    <w:rsid w:val="00B62CF1"/>
    <w:rsid w:val="00B66CA1"/>
    <w:rsid w:val="00BA4A57"/>
    <w:rsid w:val="00BB5F3F"/>
    <w:rsid w:val="00BD342A"/>
    <w:rsid w:val="00C0510F"/>
    <w:rsid w:val="00C3184E"/>
    <w:rsid w:val="00C34F72"/>
    <w:rsid w:val="00C82E07"/>
    <w:rsid w:val="00CD090D"/>
    <w:rsid w:val="00CD5EEF"/>
    <w:rsid w:val="00D01360"/>
    <w:rsid w:val="00D013E7"/>
    <w:rsid w:val="00D349B0"/>
    <w:rsid w:val="00DA4ACC"/>
    <w:rsid w:val="00DC2527"/>
    <w:rsid w:val="00E235A7"/>
    <w:rsid w:val="00E313FC"/>
    <w:rsid w:val="00E63459"/>
    <w:rsid w:val="00E66C60"/>
    <w:rsid w:val="00E71724"/>
    <w:rsid w:val="00E7668B"/>
    <w:rsid w:val="00E91E4B"/>
    <w:rsid w:val="00EB4B29"/>
    <w:rsid w:val="00EE2BF9"/>
    <w:rsid w:val="00F07675"/>
    <w:rsid w:val="00F46841"/>
    <w:rsid w:val="00F47493"/>
    <w:rsid w:val="00F54A59"/>
    <w:rsid w:val="00F61FAF"/>
    <w:rsid w:val="00F852D3"/>
    <w:rsid w:val="00F8775A"/>
    <w:rsid w:val="00FC070F"/>
    <w:rsid w:val="00FF3A15"/>
    <w:rsid w:val="18144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C9E28-3E24-4309-B132-202CC8D53569}">
  <ds:schemaRefs/>
</ds:datastoreItem>
</file>

<file path=docProps/app.xml><?xml version="1.0" encoding="utf-8"?>
<Properties xmlns="http://schemas.openxmlformats.org/officeDocument/2006/extended-properties" xmlns:vt="http://schemas.openxmlformats.org/officeDocument/2006/docPropsVTypes">
  <Template>Normal</Template>
  <Pages>7</Pages>
  <Words>2010</Words>
  <Characters>2148</Characters>
  <Lines>92</Lines>
  <Paragraphs>104</Paragraphs>
  <TotalTime>102</TotalTime>
  <ScaleCrop>false</ScaleCrop>
  <LinksUpToDate>false</LinksUpToDate>
  <CharactersWithSpaces>2400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2023-09-21T07:59:00Z</dcterms:created>
  <dc:creator>刘心茹</dc:creator>
  <cp:lastModifiedBy>张</cp:lastModifiedBy>
  <cp:lastPrinted>2023-09-22T02:49:00Z</cp:lastPrinted>
  <dcterms:modified xsi:type="dcterms:W3CDTF">2025-08-06T06:26:13Z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eyJoZGlkIjoiY2MzNDM4MmFjZTM5ZWRkMzljY2Y0NDg4NjEzYjM0ZWUiLCJ1c2VySWQiOiI0NjA3NTcwMTQifQ==</vt:lpwstr>
  </property>
  <property fmtid="{D5CDD505-2E9C-101B-9397-08002B2CF9AE}" pid="3" name="KSOProductBuildVer">
    <vt:lpwstr>2052-12.1.0.21915</vt:lpwstr>
  </property>
  <property fmtid="{D5CDD505-2E9C-101B-9397-08002B2CF9AE}" pid="4" name="ICV">
    <vt:lpwstr>977EE7D22B9D4973A4034277325195D0_12</vt:lpwstr>
  </property>
</Properties>
</file>