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EB26EE">
      <w:pPr>
        <w:pageBreakBefore w:val="0"/>
        <w:widowControl/>
        <w:kinsoku/>
        <w:wordWrap/>
        <w:overflowPunct/>
        <w:topLinePunct w:val="0"/>
        <w:autoSpaceDE/>
        <w:autoSpaceDN/>
        <w:bidi w:val="0"/>
        <w:adjustRightInd/>
        <w:snapToGrid/>
        <w:spacing w:after="0" w:line="580" w:lineRule="exact"/>
        <w:textAlignment w:val="auto"/>
        <w:rPr>
          <w:rFonts w:hint="eastAsia" w:cs="仿宋_GB2312"/>
          <w:color w:val="auto"/>
          <w:sz w:val="32"/>
          <w:szCs w:val="32"/>
          <w:lang w:val="en-US" w:eastAsia="zh-CN"/>
        </w:rPr>
      </w:pPr>
      <w:r>
        <w:rPr>
          <w:rFonts w:hint="eastAsia" w:cs="仿宋_GB2312"/>
          <w:color w:val="auto"/>
          <w:sz w:val="32"/>
          <w:szCs w:val="32"/>
          <w:lang w:val="en-US" w:eastAsia="zh-CN"/>
        </w:rPr>
        <w:t>附件</w:t>
      </w:r>
    </w:p>
    <w:p w14:paraId="4589B447">
      <w:pPr>
        <w:pageBreakBefore w:val="0"/>
        <w:widowControl/>
        <w:kinsoku/>
        <w:wordWrap/>
        <w:overflowPunct/>
        <w:topLinePunct w:val="0"/>
        <w:autoSpaceDE/>
        <w:autoSpaceDN/>
        <w:bidi w:val="0"/>
        <w:adjustRightInd/>
        <w:snapToGrid/>
        <w:spacing w:after="0" w:line="580" w:lineRule="exact"/>
        <w:textAlignment w:val="auto"/>
        <w:rPr>
          <w:rFonts w:hint="eastAsia" w:cs="仿宋_GB2312"/>
          <w:color w:val="auto"/>
          <w:sz w:val="32"/>
          <w:szCs w:val="32"/>
          <w:lang w:val="en-US" w:eastAsia="zh-CN"/>
        </w:rPr>
      </w:pPr>
    </w:p>
    <w:p w14:paraId="763FDED1">
      <w:pPr>
        <w:pStyle w:val="2"/>
        <w:keepNext/>
        <w:keepLines/>
        <w:pageBreakBefore w:val="0"/>
        <w:widowControl/>
        <w:kinsoku/>
        <w:wordWrap/>
        <w:overflowPunct/>
        <w:topLinePunct w:val="0"/>
        <w:autoSpaceDE/>
        <w:autoSpaceDN/>
        <w:bidi w:val="0"/>
        <w:adjustRightInd/>
        <w:snapToGrid/>
        <w:spacing w:before="0" w:line="580" w:lineRule="exact"/>
        <w:jc w:val="center"/>
        <w:textAlignment w:val="auto"/>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山东省资产评估协会涉执财产处置</w:t>
      </w:r>
    </w:p>
    <w:p w14:paraId="45479A03">
      <w:pPr>
        <w:pStyle w:val="2"/>
        <w:keepNext/>
        <w:keepLines/>
        <w:pageBreakBefore w:val="0"/>
        <w:widowControl/>
        <w:kinsoku/>
        <w:wordWrap/>
        <w:overflowPunct/>
        <w:topLinePunct w:val="0"/>
        <w:autoSpaceDE/>
        <w:autoSpaceDN/>
        <w:bidi w:val="0"/>
        <w:adjustRightInd/>
        <w:snapToGrid/>
        <w:spacing w:before="0" w:line="580" w:lineRule="exact"/>
        <w:jc w:val="center"/>
        <w:textAlignment w:val="auto"/>
        <w:rPr>
          <w:rFonts w:hint="default" w:ascii="仿宋_GB2312" w:hAnsi="仿宋_GB2312" w:eastAsia="仿宋_GB2312" w:cs="仿宋_GB2312"/>
          <w:b w:val="0"/>
          <w:bCs w:val="0"/>
          <w:color w:val="auto"/>
          <w:sz w:val="32"/>
          <w:szCs w:val="32"/>
          <w:lang w:val="en-US"/>
        </w:rPr>
      </w:pPr>
      <w:r>
        <w:rPr>
          <w:rFonts w:hint="eastAsia" w:ascii="方正小标宋简体" w:hAnsi="方正小标宋简体" w:eastAsia="方正小标宋简体" w:cs="方正小标宋简体"/>
          <w:b w:val="0"/>
          <w:bCs w:val="0"/>
          <w:color w:val="auto"/>
          <w:sz w:val="44"/>
          <w:szCs w:val="44"/>
        </w:rPr>
        <w:t>司法评估机构名单库</w:t>
      </w:r>
      <w:r>
        <w:rPr>
          <w:rFonts w:hint="eastAsia" w:ascii="方正小标宋简体" w:hAnsi="方正小标宋简体" w:eastAsia="方正小标宋简体" w:cs="方正小标宋简体"/>
          <w:b w:val="0"/>
          <w:bCs w:val="0"/>
          <w:color w:val="auto"/>
          <w:sz w:val="44"/>
          <w:szCs w:val="44"/>
          <w:lang w:val="en-US" w:eastAsia="zh-CN"/>
        </w:rPr>
        <w:t>信息变更</w:t>
      </w:r>
      <w:r>
        <w:rPr>
          <w:rFonts w:hint="eastAsia" w:ascii="方正小标宋简体" w:hAnsi="方正小标宋简体" w:eastAsia="方正小标宋简体" w:cs="方正小标宋简体"/>
          <w:b w:val="0"/>
          <w:bCs w:val="0"/>
          <w:color w:val="auto"/>
          <w:sz w:val="44"/>
          <w:szCs w:val="44"/>
        </w:rPr>
        <w:t>管理暂行办法</w:t>
      </w:r>
    </w:p>
    <w:p w14:paraId="78187EF8">
      <w:pPr>
        <w:pageBreakBefore w:val="0"/>
        <w:widowControl/>
        <w:kinsoku/>
        <w:wordWrap/>
        <w:overflowPunct/>
        <w:topLinePunct w:val="0"/>
        <w:autoSpaceDE/>
        <w:autoSpaceDN/>
        <w:bidi w:val="0"/>
        <w:adjustRightInd/>
        <w:snapToGrid/>
        <w:spacing w:after="0" w:line="580" w:lineRule="exact"/>
        <w:textAlignment w:val="auto"/>
        <w:rPr>
          <w:rFonts w:hint="default" w:ascii="仿宋_GB2312" w:hAnsi="仿宋_GB2312" w:eastAsia="仿宋_GB2312" w:cs="仿宋_GB2312"/>
          <w:color w:val="auto"/>
          <w:sz w:val="32"/>
          <w:szCs w:val="32"/>
          <w:lang w:val="en-US" w:eastAsia="zh-CN"/>
        </w:rPr>
      </w:pPr>
      <w:bookmarkStart w:id="0" w:name="_GoBack"/>
      <w:bookmarkEnd w:id="0"/>
    </w:p>
    <w:p w14:paraId="3B166584">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b w:val="0"/>
          <w:bCs/>
          <w:color w:val="auto"/>
          <w:sz w:val="32"/>
          <w:szCs w:val="32"/>
        </w:rPr>
        <w:t>第一条</w:t>
      </w:r>
      <w:r>
        <w:rPr>
          <w:rFonts w:hint="eastAsia" w:ascii="仿宋_GB2312" w:hAnsi="仿宋_GB2312" w:eastAsia="仿宋_GB2312" w:cs="仿宋_GB2312"/>
          <w:b/>
          <w:color w:val="auto"/>
          <w:sz w:val="32"/>
          <w:szCs w:val="32"/>
        </w:rPr>
        <w:t>　</w:t>
      </w:r>
      <w:r>
        <w:rPr>
          <w:rFonts w:hint="eastAsia" w:ascii="仿宋_GB2312" w:hAnsi="仿宋_GB2312" w:eastAsia="仿宋_GB2312" w:cs="仿宋_GB2312"/>
          <w:color w:val="auto"/>
          <w:sz w:val="32"/>
          <w:szCs w:val="32"/>
        </w:rPr>
        <w:t>本</w:t>
      </w:r>
      <w:r>
        <w:rPr>
          <w:rFonts w:hint="eastAsia" w:ascii="仿宋_GB2312" w:hAnsi="仿宋_GB2312" w:eastAsia="仿宋_GB2312" w:cs="仿宋_GB2312"/>
          <w:color w:val="auto"/>
          <w:sz w:val="32"/>
          <w:szCs w:val="32"/>
          <w:lang w:val="en-US" w:eastAsia="zh-CN"/>
        </w:rPr>
        <w:t>暂行</w:t>
      </w:r>
      <w:r>
        <w:rPr>
          <w:rFonts w:hint="eastAsia" w:ascii="仿宋_GB2312" w:hAnsi="仿宋_GB2312" w:eastAsia="仿宋_GB2312" w:cs="仿宋_GB2312"/>
          <w:color w:val="auto"/>
          <w:sz w:val="32"/>
          <w:szCs w:val="32"/>
        </w:rPr>
        <w:t>办法</w:t>
      </w:r>
      <w:r>
        <w:rPr>
          <w:rFonts w:hint="eastAsia" w:cs="仿宋_GB2312"/>
          <w:color w:val="auto"/>
          <w:sz w:val="32"/>
          <w:szCs w:val="32"/>
          <w:lang w:eastAsia="zh-CN"/>
        </w:rPr>
        <w:t>依据</w:t>
      </w:r>
      <w:r>
        <w:rPr>
          <w:rFonts w:hint="eastAsia" w:ascii="仿宋_GB2312" w:hAnsi="仿宋_GB2312" w:eastAsia="仿宋_GB2312" w:cs="仿宋_GB2312"/>
          <w:color w:val="auto"/>
          <w:sz w:val="32"/>
          <w:szCs w:val="32"/>
        </w:rPr>
        <w:t>《中华人民共和国资产评估法》《人民法院委托评估工作规范》（法办〔2018〕273号）</w:t>
      </w:r>
      <w:r>
        <w:rPr>
          <w:rFonts w:hint="eastAsia" w:cs="仿宋_GB2312"/>
          <w:color w:val="auto"/>
          <w:sz w:val="32"/>
          <w:szCs w:val="32"/>
          <w:lang w:val="en-US" w:eastAsia="zh-CN"/>
        </w:rPr>
        <w:t>等</w:t>
      </w:r>
      <w:r>
        <w:rPr>
          <w:rFonts w:hint="eastAsia" w:ascii="仿宋_GB2312" w:hAnsi="仿宋_GB2312" w:eastAsia="仿宋_GB2312" w:cs="仿宋_GB2312"/>
          <w:color w:val="auto"/>
          <w:sz w:val="32"/>
          <w:szCs w:val="32"/>
        </w:rPr>
        <w:t>有关</w:t>
      </w:r>
      <w:r>
        <w:rPr>
          <w:rFonts w:hint="eastAsia" w:cs="仿宋_GB2312"/>
          <w:color w:val="auto"/>
          <w:sz w:val="32"/>
          <w:szCs w:val="32"/>
          <w:lang w:val="en-US" w:eastAsia="zh-CN"/>
        </w:rPr>
        <w:t>法律法规制定。</w:t>
      </w:r>
    </w:p>
    <w:p w14:paraId="352FC636">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b w:val="0"/>
          <w:bCs/>
          <w:color w:val="auto"/>
          <w:sz w:val="32"/>
          <w:szCs w:val="32"/>
        </w:rPr>
        <w:t>第二条</w:t>
      </w:r>
      <w:r>
        <w:rPr>
          <w:rFonts w:hint="eastAsia" w:ascii="仿宋_GB2312" w:hAnsi="仿宋_GB2312" w:eastAsia="仿宋_GB2312" w:cs="仿宋_GB2312"/>
          <w:b/>
          <w:color w:val="auto"/>
          <w:sz w:val="32"/>
          <w:szCs w:val="32"/>
        </w:rPr>
        <w:t>　</w:t>
      </w:r>
      <w:r>
        <w:rPr>
          <w:rFonts w:hint="eastAsia" w:ascii="仿宋_GB2312" w:hAnsi="仿宋_GB2312" w:eastAsia="仿宋_GB2312" w:cs="仿宋_GB2312"/>
          <w:color w:val="auto"/>
          <w:sz w:val="32"/>
          <w:szCs w:val="32"/>
        </w:rPr>
        <w:t>本</w:t>
      </w:r>
      <w:r>
        <w:rPr>
          <w:rFonts w:hint="eastAsia" w:cs="仿宋_GB2312"/>
          <w:color w:val="auto"/>
          <w:sz w:val="32"/>
          <w:szCs w:val="32"/>
          <w:lang w:val="en-US" w:eastAsia="zh-CN"/>
        </w:rPr>
        <w:t>暂行</w:t>
      </w:r>
      <w:r>
        <w:rPr>
          <w:rFonts w:hint="eastAsia" w:ascii="仿宋_GB2312" w:hAnsi="仿宋_GB2312" w:eastAsia="仿宋_GB2312" w:cs="仿宋_GB2312"/>
          <w:color w:val="auto"/>
          <w:sz w:val="32"/>
          <w:szCs w:val="32"/>
        </w:rPr>
        <w:t>办法适用于已纳入</w:t>
      </w:r>
      <w:r>
        <w:rPr>
          <w:rFonts w:hint="eastAsia" w:cs="仿宋_GB2312"/>
          <w:color w:val="auto"/>
          <w:sz w:val="32"/>
          <w:szCs w:val="32"/>
          <w:lang w:val="en-US" w:eastAsia="zh-CN"/>
        </w:rPr>
        <w:t>名单</w:t>
      </w:r>
      <w:r>
        <w:rPr>
          <w:rFonts w:hint="eastAsia" w:ascii="仿宋_GB2312" w:hAnsi="仿宋_GB2312" w:eastAsia="仿宋_GB2312" w:cs="仿宋_GB2312"/>
          <w:color w:val="auto"/>
          <w:sz w:val="32"/>
          <w:szCs w:val="32"/>
        </w:rPr>
        <w:t>库的</w:t>
      </w:r>
      <w:r>
        <w:rPr>
          <w:rFonts w:hint="eastAsia" w:cs="仿宋_GB2312"/>
          <w:color w:val="auto"/>
          <w:sz w:val="32"/>
          <w:szCs w:val="32"/>
          <w:lang w:val="en-US" w:eastAsia="zh-CN"/>
        </w:rPr>
        <w:t>省内</w:t>
      </w:r>
      <w:r>
        <w:rPr>
          <w:rFonts w:hint="eastAsia" w:ascii="仿宋_GB2312" w:hAnsi="仿宋_GB2312" w:eastAsia="仿宋_GB2312" w:cs="仿宋_GB2312"/>
          <w:color w:val="auto"/>
          <w:sz w:val="32"/>
          <w:szCs w:val="32"/>
        </w:rPr>
        <w:t>资产评估机构（以下简称</w:t>
      </w:r>
      <w:r>
        <w:rPr>
          <w:rFonts w:hint="eastAsia" w:cs="仿宋_GB2312"/>
          <w:color w:val="auto"/>
          <w:sz w:val="32"/>
          <w:szCs w:val="32"/>
          <w:lang w:eastAsia="zh-CN"/>
        </w:rPr>
        <w:t>“</w:t>
      </w:r>
      <w:r>
        <w:rPr>
          <w:rFonts w:hint="eastAsia" w:ascii="仿宋_GB2312" w:hAnsi="仿宋_GB2312" w:eastAsia="仿宋_GB2312" w:cs="仿宋_GB2312"/>
          <w:color w:val="auto"/>
          <w:sz w:val="32"/>
          <w:szCs w:val="32"/>
        </w:rPr>
        <w:t>入库机构</w:t>
      </w:r>
      <w:r>
        <w:rPr>
          <w:rFonts w:hint="eastAsia" w:cs="仿宋_GB2312"/>
          <w:color w:val="auto"/>
          <w:sz w:val="32"/>
          <w:szCs w:val="32"/>
          <w:lang w:eastAsia="zh-CN"/>
        </w:rPr>
        <w:t>”</w:t>
      </w:r>
      <w:r>
        <w:rPr>
          <w:rFonts w:hint="eastAsia" w:ascii="仿宋_GB2312" w:hAnsi="仿宋_GB2312" w:eastAsia="仿宋_GB2312" w:cs="仿宋_GB2312"/>
          <w:color w:val="auto"/>
          <w:sz w:val="32"/>
          <w:szCs w:val="32"/>
        </w:rPr>
        <w:t>）信息变更等管理工作。</w:t>
      </w:r>
    </w:p>
    <w:p w14:paraId="27633033">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b w:val="0"/>
          <w:bCs/>
          <w:color w:val="auto"/>
          <w:sz w:val="32"/>
          <w:szCs w:val="32"/>
        </w:rPr>
        <w:t>第三条</w:t>
      </w:r>
      <w:r>
        <w:rPr>
          <w:rFonts w:hint="eastAsia" w:ascii="仿宋_GB2312" w:hAnsi="仿宋_GB2312" w:eastAsia="仿宋_GB2312" w:cs="仿宋_GB2312"/>
          <w:b/>
          <w:color w:val="auto"/>
          <w:sz w:val="32"/>
          <w:szCs w:val="32"/>
        </w:rPr>
        <w:t>　</w:t>
      </w:r>
      <w:r>
        <w:rPr>
          <w:rFonts w:hint="eastAsia" w:ascii="仿宋_GB2312" w:hAnsi="仿宋_GB2312" w:eastAsia="仿宋_GB2312" w:cs="仿宋_GB2312"/>
          <w:color w:val="auto"/>
          <w:sz w:val="32"/>
          <w:szCs w:val="32"/>
          <w:lang w:val="en-US" w:eastAsia="zh-CN"/>
        </w:rPr>
        <w:t>名单</w:t>
      </w:r>
      <w:r>
        <w:rPr>
          <w:rFonts w:hint="eastAsia" w:ascii="仿宋_GB2312" w:hAnsi="仿宋_GB2312" w:eastAsia="仿宋_GB2312" w:cs="仿宋_GB2312"/>
          <w:color w:val="auto"/>
          <w:sz w:val="32"/>
          <w:szCs w:val="32"/>
        </w:rPr>
        <w:t>库</w:t>
      </w:r>
      <w:r>
        <w:rPr>
          <w:rFonts w:hint="eastAsia" w:cs="仿宋_GB2312"/>
          <w:color w:val="auto"/>
          <w:sz w:val="32"/>
          <w:szCs w:val="32"/>
          <w:lang w:val="en-US" w:eastAsia="zh-CN"/>
        </w:rPr>
        <w:t>信息变更</w:t>
      </w:r>
      <w:r>
        <w:rPr>
          <w:rFonts w:hint="eastAsia" w:ascii="仿宋_GB2312" w:hAnsi="仿宋_GB2312" w:eastAsia="仿宋_GB2312" w:cs="仿宋_GB2312"/>
          <w:color w:val="auto"/>
          <w:sz w:val="32"/>
          <w:szCs w:val="32"/>
        </w:rPr>
        <w:t>管理遵循依法合规、真实准确、及时高效、公开透明的原则。</w:t>
      </w:r>
    </w:p>
    <w:p w14:paraId="664A3F3B">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b w:val="0"/>
          <w:bCs/>
          <w:color w:val="auto"/>
          <w:sz w:val="32"/>
          <w:szCs w:val="32"/>
        </w:rPr>
        <w:t>第四条</w:t>
      </w:r>
      <w:r>
        <w:rPr>
          <w:rFonts w:hint="eastAsia" w:ascii="仿宋_GB2312" w:hAnsi="仿宋_GB2312" w:eastAsia="仿宋_GB2312" w:cs="仿宋_GB2312"/>
          <w:b/>
          <w:color w:val="auto"/>
          <w:sz w:val="32"/>
          <w:szCs w:val="32"/>
        </w:rPr>
        <w:t>　</w:t>
      </w:r>
      <w:r>
        <w:rPr>
          <w:rFonts w:hint="eastAsia" w:ascii="仿宋_GB2312" w:hAnsi="仿宋_GB2312" w:eastAsia="仿宋_GB2312" w:cs="仿宋_GB2312"/>
          <w:color w:val="auto"/>
          <w:sz w:val="32"/>
          <w:szCs w:val="32"/>
        </w:rPr>
        <w:t>山东省资产评估协会（以下简称</w:t>
      </w:r>
      <w:r>
        <w:rPr>
          <w:rFonts w:hint="eastAsia" w:cs="仿宋_GB2312"/>
          <w:color w:val="auto"/>
          <w:sz w:val="32"/>
          <w:szCs w:val="32"/>
          <w:lang w:eastAsia="zh-CN"/>
        </w:rPr>
        <w:t>“</w:t>
      </w:r>
      <w:r>
        <w:rPr>
          <w:rFonts w:hint="eastAsia" w:cs="仿宋_GB2312"/>
          <w:color w:val="auto"/>
          <w:sz w:val="32"/>
          <w:szCs w:val="32"/>
          <w:lang w:val="en-US" w:eastAsia="zh-CN"/>
        </w:rPr>
        <w:t>省</w:t>
      </w:r>
      <w:r>
        <w:rPr>
          <w:rFonts w:hint="eastAsia" w:cs="仿宋_GB2312"/>
          <w:color w:val="auto"/>
          <w:sz w:val="32"/>
          <w:szCs w:val="32"/>
          <w:lang w:eastAsia="zh-CN"/>
        </w:rPr>
        <w:t>评协”</w:t>
      </w:r>
      <w:r>
        <w:rPr>
          <w:rFonts w:hint="eastAsia" w:ascii="仿宋_GB2312" w:hAnsi="仿宋_GB2312" w:eastAsia="仿宋_GB2312" w:cs="仿宋_GB2312"/>
          <w:color w:val="auto"/>
          <w:sz w:val="32"/>
          <w:szCs w:val="32"/>
        </w:rPr>
        <w:t>）负责全省</w:t>
      </w:r>
      <w:r>
        <w:rPr>
          <w:rFonts w:hint="eastAsia" w:cs="仿宋_GB2312"/>
          <w:color w:val="auto"/>
          <w:sz w:val="32"/>
          <w:szCs w:val="32"/>
          <w:lang w:val="en-US" w:eastAsia="zh-CN"/>
        </w:rPr>
        <w:t>名单</w:t>
      </w:r>
      <w:r>
        <w:rPr>
          <w:rFonts w:hint="eastAsia" w:ascii="仿宋_GB2312" w:hAnsi="仿宋_GB2312" w:eastAsia="仿宋_GB2312" w:cs="仿宋_GB2312"/>
          <w:color w:val="auto"/>
          <w:sz w:val="32"/>
          <w:szCs w:val="32"/>
        </w:rPr>
        <w:t>库信息变更的审核、汇总和上报</w:t>
      </w:r>
      <w:r>
        <w:rPr>
          <w:rFonts w:hint="eastAsia" w:cs="仿宋_GB2312"/>
          <w:color w:val="auto"/>
          <w:sz w:val="32"/>
          <w:szCs w:val="32"/>
          <w:lang w:val="en-US" w:eastAsia="zh-CN"/>
        </w:rPr>
        <w:t>等</w:t>
      </w:r>
      <w:r>
        <w:rPr>
          <w:rFonts w:hint="eastAsia" w:ascii="仿宋_GB2312" w:hAnsi="仿宋_GB2312" w:eastAsia="仿宋_GB2312" w:cs="仿宋_GB2312"/>
          <w:color w:val="auto"/>
          <w:sz w:val="32"/>
          <w:szCs w:val="32"/>
        </w:rPr>
        <w:t>工作，具体履行</w:t>
      </w:r>
      <w:r>
        <w:rPr>
          <w:rFonts w:hint="eastAsia" w:cs="仿宋_GB2312"/>
          <w:color w:val="auto"/>
          <w:sz w:val="32"/>
          <w:szCs w:val="32"/>
          <w:lang w:val="en-US" w:eastAsia="zh-CN"/>
        </w:rPr>
        <w:t>以下</w:t>
      </w:r>
      <w:r>
        <w:rPr>
          <w:rFonts w:hint="eastAsia" w:ascii="仿宋_GB2312" w:hAnsi="仿宋_GB2312" w:eastAsia="仿宋_GB2312" w:cs="仿宋_GB2312"/>
          <w:color w:val="auto"/>
          <w:sz w:val="32"/>
          <w:szCs w:val="32"/>
        </w:rPr>
        <w:t>职责：</w:t>
      </w:r>
    </w:p>
    <w:p w14:paraId="06DFABE8">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（一）受理入库机构提交的信息变更申请；</w:t>
      </w:r>
    </w:p>
    <w:p w14:paraId="30C1E9DA">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（二）对变更申请材料进行审核，对存在错误或遗漏</w:t>
      </w:r>
      <w:r>
        <w:rPr>
          <w:rFonts w:hint="eastAsia" w:cs="仿宋_GB2312"/>
          <w:b w:val="0"/>
          <w:color w:val="auto"/>
          <w:sz w:val="32"/>
          <w:szCs w:val="32"/>
          <w:lang w:val="en-US" w:eastAsia="zh-CN"/>
        </w:rPr>
        <w:t>等情况</w:t>
      </w:r>
      <w:r>
        <w:rPr>
          <w:rFonts w:hint="eastAsia" w:ascii="仿宋_GB2312" w:hAnsi="仿宋_GB2312" w:eastAsia="仿宋_GB2312" w:cs="仿宋_GB2312"/>
          <w:b w:val="0"/>
          <w:color w:val="auto"/>
          <w:sz w:val="32"/>
          <w:szCs w:val="32"/>
        </w:rPr>
        <w:t>的，通知</w:t>
      </w:r>
      <w:r>
        <w:rPr>
          <w:rFonts w:hint="eastAsia" w:cs="仿宋_GB2312"/>
          <w:b w:val="0"/>
          <w:color w:val="auto"/>
          <w:sz w:val="32"/>
          <w:szCs w:val="32"/>
          <w:lang w:val="en-US" w:eastAsia="zh-CN"/>
        </w:rPr>
        <w:t>入库</w:t>
      </w:r>
      <w:r>
        <w:rPr>
          <w:rFonts w:hint="eastAsia" w:ascii="仿宋_GB2312" w:hAnsi="仿宋_GB2312" w:eastAsia="仿宋_GB2312" w:cs="仿宋_GB2312"/>
          <w:b w:val="0"/>
          <w:color w:val="auto"/>
          <w:sz w:val="32"/>
          <w:szCs w:val="32"/>
        </w:rPr>
        <w:t>机构予以补正；</w:t>
      </w:r>
    </w:p>
    <w:p w14:paraId="08295ABA">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（三）</w:t>
      </w:r>
      <w:r>
        <w:rPr>
          <w:rFonts w:hint="eastAsia" w:cs="仿宋_GB2312"/>
          <w:b w:val="0"/>
          <w:color w:val="auto"/>
          <w:sz w:val="32"/>
          <w:szCs w:val="32"/>
          <w:lang w:val="en-US" w:eastAsia="zh-CN"/>
        </w:rPr>
        <w:t>定期</w:t>
      </w:r>
      <w:r>
        <w:rPr>
          <w:rFonts w:hint="eastAsia" w:ascii="仿宋_GB2312" w:hAnsi="仿宋_GB2312" w:eastAsia="仿宋_GB2312" w:cs="仿宋_GB2312"/>
          <w:b w:val="0"/>
          <w:color w:val="auto"/>
          <w:sz w:val="32"/>
          <w:szCs w:val="32"/>
        </w:rPr>
        <w:t>汇总全省信息变更情况，</w:t>
      </w:r>
      <w:r>
        <w:rPr>
          <w:rFonts w:hint="eastAsia" w:cs="仿宋_GB2312"/>
          <w:b w:val="0"/>
          <w:color w:val="auto"/>
          <w:sz w:val="32"/>
          <w:szCs w:val="32"/>
          <w:lang w:val="en-US" w:eastAsia="zh-CN"/>
        </w:rPr>
        <w:t>将</w:t>
      </w:r>
      <w:r>
        <w:rPr>
          <w:rFonts w:hint="eastAsia" w:ascii="仿宋_GB2312" w:hAnsi="仿宋_GB2312" w:eastAsia="仿宋_GB2312" w:cs="仿宋_GB2312"/>
          <w:b w:val="0"/>
          <w:color w:val="auto"/>
          <w:sz w:val="32"/>
          <w:szCs w:val="32"/>
        </w:rPr>
        <w:t>汇总表及相关资料报送</w:t>
      </w:r>
      <w:r>
        <w:rPr>
          <w:rFonts w:hint="eastAsia" w:cs="仿宋_GB2312"/>
          <w:b w:val="0"/>
          <w:color w:val="auto"/>
          <w:sz w:val="32"/>
          <w:szCs w:val="32"/>
          <w:lang w:val="en-US" w:eastAsia="zh-CN"/>
        </w:rPr>
        <w:t>中国资产评估协会（</w:t>
      </w:r>
      <w:r>
        <w:rPr>
          <w:rFonts w:hint="eastAsia" w:ascii="仿宋_GB2312" w:hAnsi="仿宋_GB2312" w:eastAsia="仿宋_GB2312" w:cs="仿宋_GB2312"/>
          <w:color w:val="auto"/>
          <w:sz w:val="32"/>
          <w:szCs w:val="32"/>
        </w:rPr>
        <w:t>以下简称</w:t>
      </w:r>
      <w:r>
        <w:rPr>
          <w:rFonts w:hint="eastAsia" w:cs="仿宋_GB2312"/>
          <w:color w:val="auto"/>
          <w:sz w:val="32"/>
          <w:szCs w:val="32"/>
          <w:lang w:eastAsia="zh-CN"/>
        </w:rPr>
        <w:t>“</w:t>
      </w:r>
      <w:r>
        <w:rPr>
          <w:rFonts w:hint="eastAsia" w:cs="仿宋_GB2312"/>
          <w:color w:val="auto"/>
          <w:sz w:val="32"/>
          <w:szCs w:val="32"/>
          <w:lang w:val="en-US" w:eastAsia="zh-CN"/>
        </w:rPr>
        <w:t>中</w:t>
      </w:r>
      <w:r>
        <w:rPr>
          <w:rFonts w:hint="eastAsia" w:cs="仿宋_GB2312"/>
          <w:color w:val="auto"/>
          <w:sz w:val="32"/>
          <w:szCs w:val="32"/>
          <w:lang w:eastAsia="zh-CN"/>
        </w:rPr>
        <w:t>评协”</w:t>
      </w:r>
      <w:r>
        <w:rPr>
          <w:rFonts w:hint="eastAsia" w:cs="仿宋_GB2312"/>
          <w:b w:val="0"/>
          <w:color w:val="auto"/>
          <w:sz w:val="32"/>
          <w:szCs w:val="32"/>
          <w:lang w:val="en-US" w:eastAsia="zh-CN"/>
        </w:rPr>
        <w:t>）</w:t>
      </w:r>
      <w:r>
        <w:rPr>
          <w:rFonts w:hint="eastAsia" w:ascii="仿宋_GB2312" w:hAnsi="仿宋_GB2312" w:eastAsia="仿宋_GB2312" w:cs="仿宋_GB2312"/>
          <w:b w:val="0"/>
          <w:color w:val="auto"/>
          <w:sz w:val="32"/>
          <w:szCs w:val="32"/>
        </w:rPr>
        <w:t>；</w:t>
      </w:r>
    </w:p>
    <w:p w14:paraId="034F3CB1">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（四）对</w:t>
      </w:r>
      <w:r>
        <w:rPr>
          <w:rFonts w:hint="eastAsia" w:cs="仿宋_GB2312"/>
          <w:b w:val="0"/>
          <w:color w:val="auto"/>
          <w:sz w:val="32"/>
          <w:szCs w:val="32"/>
          <w:lang w:val="en-US" w:eastAsia="zh-CN"/>
        </w:rPr>
        <w:t>符合</w:t>
      </w:r>
      <w:r>
        <w:rPr>
          <w:rFonts w:hint="eastAsia" w:ascii="仿宋_GB2312" w:hAnsi="仿宋_GB2312" w:eastAsia="仿宋_GB2312" w:cs="仿宋_GB2312"/>
          <w:b w:val="0"/>
          <w:color w:val="auto"/>
          <w:sz w:val="32"/>
          <w:szCs w:val="32"/>
        </w:rPr>
        <w:t>退库条件的</w:t>
      </w:r>
      <w:r>
        <w:rPr>
          <w:rFonts w:hint="eastAsia" w:cs="仿宋_GB2312"/>
          <w:b w:val="0"/>
          <w:color w:val="auto"/>
          <w:sz w:val="32"/>
          <w:szCs w:val="32"/>
          <w:lang w:val="en-US" w:eastAsia="zh-CN"/>
        </w:rPr>
        <w:t>入库</w:t>
      </w:r>
      <w:r>
        <w:rPr>
          <w:rFonts w:hint="eastAsia" w:ascii="仿宋_GB2312" w:hAnsi="仿宋_GB2312" w:eastAsia="仿宋_GB2312" w:cs="仿宋_GB2312"/>
          <w:b w:val="0"/>
          <w:color w:val="auto"/>
          <w:sz w:val="32"/>
          <w:szCs w:val="32"/>
        </w:rPr>
        <w:t>机构，按规定程序提出处理</w:t>
      </w:r>
      <w:r>
        <w:rPr>
          <w:rFonts w:hint="eastAsia" w:cs="仿宋_GB2312"/>
          <w:b w:val="0"/>
          <w:color w:val="auto"/>
          <w:sz w:val="32"/>
          <w:szCs w:val="32"/>
          <w:lang w:val="en-US" w:eastAsia="zh-CN"/>
        </w:rPr>
        <w:t>意见</w:t>
      </w:r>
      <w:r>
        <w:rPr>
          <w:rFonts w:hint="eastAsia" w:ascii="仿宋_GB2312" w:hAnsi="仿宋_GB2312" w:eastAsia="仿宋_GB2312" w:cs="仿宋_GB2312"/>
          <w:b w:val="0"/>
          <w:color w:val="auto"/>
          <w:sz w:val="32"/>
          <w:szCs w:val="32"/>
        </w:rPr>
        <w:t>并上报</w:t>
      </w:r>
      <w:r>
        <w:rPr>
          <w:rFonts w:hint="eastAsia" w:cs="仿宋_GB2312"/>
          <w:b w:val="0"/>
          <w:color w:val="auto"/>
          <w:sz w:val="32"/>
          <w:szCs w:val="32"/>
          <w:lang w:val="en-US" w:eastAsia="zh-CN"/>
        </w:rPr>
        <w:t>中评协</w:t>
      </w:r>
      <w:r>
        <w:rPr>
          <w:rFonts w:hint="eastAsia" w:ascii="仿宋_GB2312" w:hAnsi="仿宋_GB2312" w:eastAsia="仿宋_GB2312" w:cs="仿宋_GB2312"/>
          <w:b w:val="0"/>
          <w:color w:val="auto"/>
          <w:sz w:val="32"/>
          <w:szCs w:val="32"/>
        </w:rPr>
        <w:t>；</w:t>
      </w:r>
    </w:p>
    <w:p w14:paraId="0606B264">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（五）负责变更材料的归档管理和信息保密工作；</w:t>
      </w:r>
    </w:p>
    <w:p w14:paraId="27C014EF">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b/>
          <w:color w:val="auto"/>
          <w:sz w:val="32"/>
          <w:szCs w:val="32"/>
        </w:rPr>
      </w:pPr>
      <w:r>
        <w:rPr>
          <w:rFonts w:hint="eastAsia" w:ascii="仿宋_GB2312" w:hAnsi="仿宋_GB2312" w:eastAsia="仿宋_GB2312" w:cs="仿宋_GB2312"/>
          <w:b w:val="0"/>
          <w:color w:val="auto"/>
          <w:sz w:val="32"/>
          <w:szCs w:val="32"/>
        </w:rPr>
        <w:t>（六）</w:t>
      </w:r>
      <w:r>
        <w:rPr>
          <w:rFonts w:hint="eastAsia" w:cs="仿宋_GB2312"/>
          <w:b w:val="0"/>
          <w:color w:val="auto"/>
          <w:sz w:val="32"/>
          <w:szCs w:val="32"/>
          <w:lang w:eastAsia="zh-CN"/>
        </w:rPr>
        <w:t>其他</w:t>
      </w:r>
      <w:r>
        <w:rPr>
          <w:rFonts w:hint="eastAsia" w:ascii="仿宋_GB2312" w:hAnsi="仿宋_GB2312" w:eastAsia="仿宋_GB2312" w:cs="仿宋_GB2312"/>
          <w:b w:val="0"/>
          <w:color w:val="auto"/>
          <w:sz w:val="32"/>
          <w:szCs w:val="32"/>
        </w:rPr>
        <w:t>相关工作。</w:t>
      </w:r>
    </w:p>
    <w:p w14:paraId="698A156E">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b w:val="0"/>
          <w:color w:val="auto"/>
          <w:sz w:val="32"/>
          <w:szCs w:val="32"/>
        </w:rPr>
      </w:pPr>
      <w:r>
        <w:rPr>
          <w:rFonts w:hint="eastAsia" w:ascii="黑体" w:hAnsi="黑体" w:eastAsia="黑体" w:cs="黑体"/>
          <w:b w:val="0"/>
          <w:bCs/>
          <w:color w:val="auto"/>
          <w:sz w:val="32"/>
          <w:szCs w:val="32"/>
        </w:rPr>
        <w:t>第五条</w:t>
      </w:r>
      <w:r>
        <w:rPr>
          <w:rFonts w:hint="eastAsia" w:ascii="仿宋_GB2312" w:hAnsi="仿宋_GB2312" w:eastAsia="仿宋_GB2312" w:cs="仿宋_GB2312"/>
          <w:b/>
          <w:color w:val="auto"/>
          <w:sz w:val="32"/>
          <w:szCs w:val="32"/>
        </w:rPr>
        <w:t>　</w:t>
      </w:r>
      <w:r>
        <w:rPr>
          <w:rFonts w:hint="eastAsia" w:ascii="仿宋_GB2312" w:hAnsi="仿宋_GB2312" w:eastAsia="仿宋_GB2312" w:cs="仿宋_GB2312"/>
          <w:color w:val="auto"/>
          <w:sz w:val="32"/>
          <w:szCs w:val="32"/>
        </w:rPr>
        <w:t>入库机构下列信息发生变化的，</w:t>
      </w:r>
      <w:r>
        <w:rPr>
          <w:rFonts w:hint="eastAsia" w:cs="仿宋_GB2312"/>
          <w:b w:val="0"/>
          <w:color w:val="auto"/>
          <w:sz w:val="32"/>
          <w:szCs w:val="32"/>
          <w:lang w:val="en-US" w:eastAsia="zh-CN"/>
        </w:rPr>
        <w:t>应当及时</w:t>
      </w:r>
      <w:r>
        <w:rPr>
          <w:rFonts w:hint="eastAsia" w:ascii="仿宋_GB2312" w:hAnsi="仿宋_GB2312" w:eastAsia="仿宋_GB2312" w:cs="仿宋_GB2312"/>
          <w:b w:val="0"/>
          <w:color w:val="auto"/>
          <w:sz w:val="32"/>
          <w:szCs w:val="32"/>
        </w:rPr>
        <w:t>申请信息变更：</w:t>
      </w:r>
    </w:p>
    <w:p w14:paraId="2D530392">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（一）机构名称；</w:t>
      </w:r>
    </w:p>
    <w:p w14:paraId="516C0954">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（二）统一社会信用代码；</w:t>
      </w:r>
    </w:p>
    <w:p w14:paraId="5E2F0799">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（三）注册地址；</w:t>
      </w:r>
    </w:p>
    <w:p w14:paraId="12CBCD2E">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（四）法定代表人（执行事务合伙人）；</w:t>
      </w:r>
    </w:p>
    <w:p w14:paraId="569E4374">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（五）联系人及联系方式（手机、电子邮箱）；</w:t>
      </w:r>
    </w:p>
    <w:p w14:paraId="71BEA099">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（六）通讯地址及邮政编码；</w:t>
      </w:r>
    </w:p>
    <w:p w14:paraId="4A3ED893">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（七）资产评估师人数及人员名单；</w:t>
      </w:r>
    </w:p>
    <w:p w14:paraId="2294F607">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（八）</w:t>
      </w:r>
      <w:r>
        <w:rPr>
          <w:rFonts w:hint="eastAsia" w:cs="仿宋_GB2312"/>
          <w:b w:val="0"/>
          <w:color w:val="auto"/>
          <w:sz w:val="32"/>
          <w:szCs w:val="32"/>
          <w:lang w:eastAsia="zh-CN"/>
        </w:rPr>
        <w:t>其他</w:t>
      </w:r>
      <w:r>
        <w:rPr>
          <w:rFonts w:hint="eastAsia" w:ascii="仿宋_GB2312" w:hAnsi="仿宋_GB2312" w:eastAsia="仿宋_GB2312" w:cs="仿宋_GB2312"/>
          <w:b w:val="0"/>
          <w:color w:val="auto"/>
          <w:sz w:val="32"/>
          <w:szCs w:val="32"/>
        </w:rPr>
        <w:t>经中评协确认可以变更的信息。</w:t>
      </w:r>
    </w:p>
    <w:p w14:paraId="2DB1E8F1">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b w:val="0"/>
          <w:bCs/>
          <w:color w:val="auto"/>
          <w:sz w:val="32"/>
          <w:szCs w:val="32"/>
        </w:rPr>
        <w:t>第六条</w:t>
      </w:r>
      <w:r>
        <w:rPr>
          <w:rFonts w:hint="eastAsia" w:ascii="仿宋_GB2312" w:hAnsi="仿宋_GB2312" w:eastAsia="仿宋_GB2312" w:cs="仿宋_GB2312"/>
          <w:b/>
          <w:color w:val="auto"/>
          <w:sz w:val="32"/>
          <w:szCs w:val="32"/>
        </w:rPr>
        <w:t>　</w:t>
      </w:r>
      <w:r>
        <w:rPr>
          <w:rFonts w:hint="eastAsia" w:ascii="仿宋_GB2312" w:hAnsi="仿宋_GB2312" w:eastAsia="仿宋_GB2312" w:cs="仿宋_GB2312"/>
          <w:color w:val="auto"/>
          <w:sz w:val="32"/>
          <w:szCs w:val="32"/>
        </w:rPr>
        <w:t>下列事项不属于信息变更范围，</w:t>
      </w:r>
      <w:r>
        <w:rPr>
          <w:rFonts w:hint="eastAsia" w:cs="仿宋_GB2312"/>
          <w:color w:val="auto"/>
          <w:sz w:val="32"/>
          <w:szCs w:val="32"/>
          <w:lang w:val="en-US" w:eastAsia="zh-CN"/>
        </w:rPr>
        <w:t>省评协</w:t>
      </w:r>
      <w:r>
        <w:rPr>
          <w:rFonts w:hint="eastAsia" w:ascii="仿宋_GB2312" w:hAnsi="仿宋_GB2312" w:eastAsia="仿宋_GB2312" w:cs="仿宋_GB2312"/>
          <w:color w:val="auto"/>
          <w:sz w:val="32"/>
          <w:szCs w:val="32"/>
        </w:rPr>
        <w:t>不予受理：</w:t>
      </w:r>
    </w:p>
    <w:p w14:paraId="790FD8F1">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（一）收费标准的调整；</w:t>
      </w:r>
    </w:p>
    <w:p w14:paraId="2B7137FC">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（二）机构资质</w:t>
      </w:r>
      <w:r>
        <w:rPr>
          <w:rFonts w:hint="eastAsia" w:cs="仿宋_GB2312"/>
          <w:b w:val="0"/>
          <w:color w:val="auto"/>
          <w:sz w:val="32"/>
          <w:szCs w:val="32"/>
          <w:lang w:val="en-US" w:eastAsia="zh-CN"/>
        </w:rPr>
        <w:t>的</w:t>
      </w:r>
      <w:r>
        <w:rPr>
          <w:rFonts w:hint="eastAsia" w:ascii="仿宋_GB2312" w:hAnsi="仿宋_GB2312" w:eastAsia="仿宋_GB2312" w:cs="仿宋_GB2312"/>
          <w:b w:val="0"/>
          <w:color w:val="auto"/>
          <w:sz w:val="32"/>
          <w:szCs w:val="32"/>
        </w:rPr>
        <w:t>变更；</w:t>
      </w:r>
    </w:p>
    <w:p w14:paraId="67FF79BC">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（三）</w:t>
      </w:r>
      <w:r>
        <w:rPr>
          <w:rFonts w:hint="eastAsia" w:cs="仿宋_GB2312"/>
          <w:b w:val="0"/>
          <w:color w:val="auto"/>
          <w:sz w:val="32"/>
          <w:szCs w:val="32"/>
          <w:lang w:eastAsia="zh-CN"/>
        </w:rPr>
        <w:t>其他</w:t>
      </w:r>
      <w:r>
        <w:rPr>
          <w:rFonts w:hint="eastAsia" w:ascii="仿宋_GB2312" w:hAnsi="仿宋_GB2312" w:eastAsia="仿宋_GB2312" w:cs="仿宋_GB2312"/>
          <w:b w:val="0"/>
          <w:color w:val="auto"/>
          <w:sz w:val="32"/>
          <w:szCs w:val="32"/>
        </w:rPr>
        <w:t>不属于</w:t>
      </w:r>
      <w:r>
        <w:rPr>
          <w:rFonts w:hint="eastAsia" w:cs="仿宋_GB2312"/>
          <w:b w:val="0"/>
          <w:color w:val="auto"/>
          <w:sz w:val="32"/>
          <w:szCs w:val="32"/>
          <w:lang w:val="en-US" w:eastAsia="zh-CN"/>
        </w:rPr>
        <w:t>名单库</w:t>
      </w:r>
      <w:r>
        <w:rPr>
          <w:rFonts w:hint="eastAsia" w:ascii="仿宋_GB2312" w:hAnsi="仿宋_GB2312" w:eastAsia="仿宋_GB2312" w:cs="仿宋_GB2312"/>
          <w:b w:val="0"/>
          <w:color w:val="auto"/>
          <w:sz w:val="32"/>
          <w:szCs w:val="32"/>
        </w:rPr>
        <w:t>基本信息登记范围的事项。</w:t>
      </w:r>
    </w:p>
    <w:p w14:paraId="1ACE7740">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b w:val="0"/>
          <w:bCs/>
          <w:color w:val="auto"/>
          <w:sz w:val="32"/>
          <w:szCs w:val="32"/>
        </w:rPr>
        <w:t>第</w:t>
      </w:r>
      <w:r>
        <w:rPr>
          <w:rFonts w:hint="eastAsia" w:ascii="黑体" w:hAnsi="黑体" w:eastAsia="黑体" w:cs="黑体"/>
          <w:b w:val="0"/>
          <w:bCs/>
          <w:color w:val="auto"/>
          <w:sz w:val="32"/>
          <w:szCs w:val="32"/>
          <w:lang w:val="en-US" w:eastAsia="zh-CN"/>
        </w:rPr>
        <w:t>七</w:t>
      </w:r>
      <w:r>
        <w:rPr>
          <w:rFonts w:hint="eastAsia" w:ascii="黑体" w:hAnsi="黑体" w:eastAsia="黑体" w:cs="黑体"/>
          <w:b w:val="0"/>
          <w:bCs/>
          <w:color w:val="auto"/>
          <w:sz w:val="32"/>
          <w:szCs w:val="32"/>
        </w:rPr>
        <w:t>条</w:t>
      </w:r>
      <w:r>
        <w:rPr>
          <w:rFonts w:hint="eastAsia" w:ascii="仿宋_GB2312" w:hAnsi="仿宋_GB2312" w:eastAsia="仿宋_GB2312" w:cs="仿宋_GB2312"/>
          <w:b/>
          <w:color w:val="auto"/>
          <w:sz w:val="32"/>
          <w:szCs w:val="32"/>
        </w:rPr>
        <w:t>　</w:t>
      </w:r>
      <w:r>
        <w:rPr>
          <w:rFonts w:hint="eastAsia" w:ascii="仿宋_GB2312" w:hAnsi="仿宋_GB2312" w:eastAsia="仿宋_GB2312" w:cs="仿宋_GB2312"/>
          <w:color w:val="auto"/>
          <w:sz w:val="32"/>
          <w:szCs w:val="32"/>
        </w:rPr>
        <w:t>入库机构申请信息变更，应当符合下列条件：</w:t>
      </w:r>
    </w:p>
    <w:p w14:paraId="52B136E1">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（一）该机构已在</w:t>
      </w:r>
      <w:r>
        <w:rPr>
          <w:rFonts w:hint="eastAsia" w:cs="仿宋_GB2312"/>
          <w:b w:val="0"/>
          <w:color w:val="auto"/>
          <w:sz w:val="32"/>
          <w:szCs w:val="32"/>
          <w:lang w:val="en-US" w:eastAsia="zh-CN"/>
        </w:rPr>
        <w:t>名单</w:t>
      </w:r>
      <w:r>
        <w:rPr>
          <w:rFonts w:hint="eastAsia" w:ascii="仿宋_GB2312" w:hAnsi="仿宋_GB2312" w:eastAsia="仿宋_GB2312" w:cs="仿宋_GB2312"/>
          <w:b w:val="0"/>
          <w:color w:val="auto"/>
          <w:sz w:val="32"/>
          <w:szCs w:val="32"/>
        </w:rPr>
        <w:t>库中登记在册；</w:t>
      </w:r>
    </w:p>
    <w:p w14:paraId="4A5B81F5">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（二）变更事项属于本</w:t>
      </w:r>
      <w:r>
        <w:rPr>
          <w:rFonts w:hint="eastAsia" w:cs="仿宋_GB2312"/>
          <w:b w:val="0"/>
          <w:color w:val="auto"/>
          <w:sz w:val="32"/>
          <w:szCs w:val="32"/>
          <w:lang w:val="en-US" w:eastAsia="zh-CN"/>
        </w:rPr>
        <w:t>暂行</w:t>
      </w:r>
      <w:r>
        <w:rPr>
          <w:rFonts w:hint="eastAsia" w:ascii="仿宋_GB2312" w:hAnsi="仿宋_GB2312" w:eastAsia="仿宋_GB2312" w:cs="仿宋_GB2312"/>
          <w:b w:val="0"/>
          <w:color w:val="auto"/>
          <w:sz w:val="32"/>
          <w:szCs w:val="32"/>
        </w:rPr>
        <w:t>办法第</w:t>
      </w:r>
      <w:r>
        <w:rPr>
          <w:rFonts w:hint="eastAsia" w:cs="仿宋_GB2312"/>
          <w:b w:val="0"/>
          <w:color w:val="auto"/>
          <w:sz w:val="32"/>
          <w:szCs w:val="32"/>
          <w:lang w:val="en-US" w:eastAsia="zh-CN"/>
        </w:rPr>
        <w:t>五</w:t>
      </w:r>
      <w:r>
        <w:rPr>
          <w:rFonts w:hint="eastAsia" w:ascii="仿宋_GB2312" w:hAnsi="仿宋_GB2312" w:eastAsia="仿宋_GB2312" w:cs="仿宋_GB2312"/>
          <w:b w:val="0"/>
          <w:color w:val="auto"/>
          <w:sz w:val="32"/>
          <w:szCs w:val="32"/>
        </w:rPr>
        <w:t>条规定的变更范围；</w:t>
      </w:r>
    </w:p>
    <w:p w14:paraId="05BCDC8F">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（三）变更信息真实、准确，并有合法有效的证明材料支撑。</w:t>
      </w:r>
    </w:p>
    <w:p w14:paraId="3FD99753">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b w:val="0"/>
          <w:bCs/>
          <w:color w:val="auto"/>
          <w:sz w:val="32"/>
          <w:szCs w:val="32"/>
          <w:lang w:val="en-US" w:eastAsia="zh-CN"/>
        </w:rPr>
        <w:t>第八条</w:t>
      </w:r>
      <w:r>
        <w:rPr>
          <w:rFonts w:hint="eastAsia" w:ascii="仿宋_GB2312" w:hAnsi="仿宋_GB2312" w:eastAsia="仿宋_GB2312" w:cs="仿宋_GB2312"/>
          <w:b/>
          <w:color w:val="auto"/>
          <w:sz w:val="32"/>
          <w:szCs w:val="32"/>
        </w:rPr>
        <w:t>　</w:t>
      </w:r>
      <w:r>
        <w:rPr>
          <w:rFonts w:hint="eastAsia" w:ascii="仿宋_GB2312" w:hAnsi="仿宋_GB2312" w:eastAsia="仿宋_GB2312" w:cs="仿宋_GB2312"/>
          <w:color w:val="auto"/>
          <w:sz w:val="32"/>
          <w:szCs w:val="32"/>
        </w:rPr>
        <w:t>入库机构应当履行下列职责：</w:t>
      </w:r>
    </w:p>
    <w:p w14:paraId="6D4DBEDC">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（一）指定专人负责</w:t>
      </w:r>
      <w:r>
        <w:rPr>
          <w:rFonts w:hint="eastAsia" w:cs="仿宋_GB2312"/>
          <w:b w:val="0"/>
          <w:color w:val="auto"/>
          <w:sz w:val="32"/>
          <w:szCs w:val="32"/>
          <w:lang w:val="en-US" w:eastAsia="zh-CN"/>
        </w:rPr>
        <w:t>名单</w:t>
      </w:r>
      <w:r>
        <w:rPr>
          <w:rFonts w:hint="eastAsia" w:ascii="仿宋_GB2312" w:hAnsi="仿宋_GB2312" w:eastAsia="仿宋_GB2312" w:cs="仿宋_GB2312"/>
          <w:b w:val="0"/>
          <w:color w:val="auto"/>
          <w:sz w:val="32"/>
          <w:szCs w:val="32"/>
        </w:rPr>
        <w:t>库信息变更工作，确保变更信息</w:t>
      </w:r>
      <w:r>
        <w:rPr>
          <w:rFonts w:hint="eastAsia" w:cs="仿宋_GB2312"/>
          <w:b w:val="0"/>
          <w:color w:val="auto"/>
          <w:sz w:val="32"/>
          <w:szCs w:val="32"/>
          <w:lang w:val="en-US" w:eastAsia="zh-CN"/>
        </w:rPr>
        <w:t>及时、</w:t>
      </w:r>
      <w:r>
        <w:rPr>
          <w:rFonts w:hint="eastAsia" w:ascii="仿宋_GB2312" w:hAnsi="仿宋_GB2312" w:eastAsia="仿宋_GB2312" w:cs="仿宋_GB2312"/>
          <w:b w:val="0"/>
          <w:color w:val="auto"/>
          <w:sz w:val="32"/>
          <w:szCs w:val="32"/>
        </w:rPr>
        <w:t>真实、准确、完整；</w:t>
      </w:r>
    </w:p>
    <w:p w14:paraId="15D5EEC6">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（二）在</w:t>
      </w:r>
      <w:r>
        <w:rPr>
          <w:rFonts w:hint="eastAsia" w:cs="仿宋_GB2312"/>
          <w:b w:val="0"/>
          <w:color w:val="auto"/>
          <w:sz w:val="32"/>
          <w:szCs w:val="32"/>
          <w:lang w:val="en-US" w:eastAsia="zh-CN"/>
        </w:rPr>
        <w:t>相关</w:t>
      </w:r>
      <w:r>
        <w:rPr>
          <w:rFonts w:hint="eastAsia" w:ascii="仿宋_GB2312" w:hAnsi="仿宋_GB2312" w:eastAsia="仿宋_GB2312" w:cs="仿宋_GB2312"/>
          <w:b w:val="0"/>
          <w:color w:val="auto"/>
          <w:sz w:val="32"/>
          <w:szCs w:val="32"/>
        </w:rPr>
        <w:t>信息发生</w:t>
      </w:r>
      <w:r>
        <w:rPr>
          <w:rFonts w:hint="eastAsia" w:cs="仿宋_GB2312"/>
          <w:b w:val="0"/>
          <w:color w:val="auto"/>
          <w:sz w:val="32"/>
          <w:szCs w:val="32"/>
          <w:lang w:val="en-US" w:eastAsia="zh-CN"/>
        </w:rPr>
        <w:t>变化</w:t>
      </w:r>
      <w:r>
        <w:rPr>
          <w:rFonts w:hint="eastAsia" w:ascii="仿宋_GB2312" w:hAnsi="仿宋_GB2312" w:eastAsia="仿宋_GB2312" w:cs="仿宋_GB2312"/>
          <w:b w:val="0"/>
          <w:color w:val="auto"/>
          <w:sz w:val="32"/>
          <w:szCs w:val="32"/>
        </w:rPr>
        <w:t>后及时向</w:t>
      </w:r>
      <w:r>
        <w:rPr>
          <w:rFonts w:hint="eastAsia" w:cs="仿宋_GB2312"/>
          <w:b w:val="0"/>
          <w:color w:val="auto"/>
          <w:sz w:val="32"/>
          <w:szCs w:val="32"/>
          <w:lang w:val="en-US" w:eastAsia="zh-CN"/>
        </w:rPr>
        <w:t>省</w:t>
      </w:r>
      <w:r>
        <w:rPr>
          <w:rFonts w:hint="eastAsia" w:cs="仿宋_GB2312"/>
          <w:b w:val="0"/>
          <w:color w:val="auto"/>
          <w:sz w:val="32"/>
          <w:szCs w:val="32"/>
          <w:lang w:eastAsia="zh-CN"/>
        </w:rPr>
        <w:t>评协</w:t>
      </w:r>
      <w:r>
        <w:rPr>
          <w:rFonts w:hint="eastAsia" w:ascii="仿宋_GB2312" w:hAnsi="仿宋_GB2312" w:eastAsia="仿宋_GB2312" w:cs="仿宋_GB2312"/>
          <w:b w:val="0"/>
          <w:color w:val="auto"/>
          <w:sz w:val="32"/>
          <w:szCs w:val="32"/>
        </w:rPr>
        <w:t>提交变更申请及相关证明材料；</w:t>
      </w:r>
    </w:p>
    <w:p w14:paraId="0019F73C">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b/>
          <w:color w:val="auto"/>
          <w:sz w:val="32"/>
          <w:szCs w:val="32"/>
        </w:rPr>
      </w:pPr>
      <w:r>
        <w:rPr>
          <w:rFonts w:hint="eastAsia" w:ascii="仿宋_GB2312" w:hAnsi="仿宋_GB2312" w:eastAsia="仿宋_GB2312" w:cs="仿宋_GB2312"/>
          <w:b w:val="0"/>
          <w:color w:val="auto"/>
          <w:sz w:val="32"/>
          <w:szCs w:val="32"/>
        </w:rPr>
        <w:t>（三）配合</w:t>
      </w:r>
      <w:r>
        <w:rPr>
          <w:rFonts w:hint="eastAsia" w:cs="仿宋_GB2312"/>
          <w:b w:val="0"/>
          <w:color w:val="auto"/>
          <w:sz w:val="32"/>
          <w:szCs w:val="32"/>
          <w:lang w:val="en-US" w:eastAsia="zh-CN"/>
        </w:rPr>
        <w:t>省</w:t>
      </w:r>
      <w:r>
        <w:rPr>
          <w:rFonts w:hint="eastAsia" w:cs="仿宋_GB2312"/>
          <w:b w:val="0"/>
          <w:color w:val="auto"/>
          <w:sz w:val="32"/>
          <w:szCs w:val="32"/>
          <w:lang w:eastAsia="zh-CN"/>
        </w:rPr>
        <w:t>评协</w:t>
      </w:r>
      <w:r>
        <w:rPr>
          <w:rFonts w:hint="eastAsia" w:ascii="仿宋_GB2312" w:hAnsi="仿宋_GB2312" w:eastAsia="仿宋_GB2312" w:cs="仿宋_GB2312"/>
          <w:b w:val="0"/>
          <w:color w:val="auto"/>
          <w:sz w:val="32"/>
          <w:szCs w:val="32"/>
        </w:rPr>
        <w:t>审核，对审核中发现的问题及时予以说明或补正</w:t>
      </w:r>
      <w:r>
        <w:rPr>
          <w:rFonts w:hint="eastAsia" w:cs="仿宋_GB2312"/>
          <w:b w:val="0"/>
          <w:color w:val="auto"/>
          <w:sz w:val="32"/>
          <w:szCs w:val="32"/>
          <w:lang w:eastAsia="zh-CN"/>
        </w:rPr>
        <w:t>。</w:t>
      </w:r>
    </w:p>
    <w:p w14:paraId="287C5C77">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b w:val="0"/>
          <w:bCs/>
          <w:color w:val="auto"/>
          <w:sz w:val="32"/>
          <w:szCs w:val="32"/>
          <w:lang w:val="en-US" w:eastAsia="zh-CN"/>
        </w:rPr>
        <w:t>第九条</w:t>
      </w:r>
      <w:r>
        <w:rPr>
          <w:rFonts w:hint="eastAsia" w:ascii="仿宋_GB2312" w:hAnsi="仿宋_GB2312" w:eastAsia="仿宋_GB2312" w:cs="仿宋_GB2312"/>
          <w:b/>
          <w:color w:val="auto"/>
          <w:sz w:val="32"/>
          <w:szCs w:val="32"/>
        </w:rPr>
        <w:t>　</w:t>
      </w:r>
      <w:r>
        <w:rPr>
          <w:rFonts w:hint="eastAsia" w:ascii="仿宋_GB2312" w:hAnsi="仿宋_GB2312" w:eastAsia="仿宋_GB2312" w:cs="仿宋_GB2312"/>
          <w:color w:val="auto"/>
          <w:sz w:val="32"/>
          <w:szCs w:val="32"/>
        </w:rPr>
        <w:t>资产评估师人数发生变更的，</w:t>
      </w:r>
      <w:r>
        <w:rPr>
          <w:rFonts w:hint="eastAsia" w:cs="仿宋_GB2312"/>
          <w:color w:val="auto"/>
          <w:sz w:val="32"/>
          <w:szCs w:val="32"/>
          <w:lang w:val="en-US" w:eastAsia="zh-CN"/>
        </w:rPr>
        <w:t>入库</w:t>
      </w:r>
      <w:r>
        <w:rPr>
          <w:rFonts w:hint="eastAsia" w:ascii="仿宋_GB2312" w:hAnsi="仿宋_GB2312" w:eastAsia="仿宋_GB2312" w:cs="仿宋_GB2312"/>
          <w:color w:val="auto"/>
          <w:sz w:val="32"/>
          <w:szCs w:val="32"/>
        </w:rPr>
        <w:t>机构须另附评估师名单，列明评估师姓名、会员编号、所属评估机构全称、统一社会信用代码、机构代码等信息。</w:t>
      </w:r>
    </w:p>
    <w:p w14:paraId="6563992A">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b w:val="0"/>
          <w:bCs/>
          <w:color w:val="auto"/>
          <w:sz w:val="32"/>
          <w:szCs w:val="32"/>
          <w:lang w:val="en-US" w:eastAsia="zh-CN"/>
        </w:rPr>
        <w:t>第十条</w:t>
      </w:r>
      <w:r>
        <w:rPr>
          <w:rFonts w:hint="eastAsia" w:ascii="仿宋_GB2312" w:hAnsi="仿宋_GB2312" w:eastAsia="仿宋_GB2312" w:cs="仿宋_GB2312"/>
          <w:b/>
          <w:color w:val="auto"/>
          <w:sz w:val="32"/>
          <w:szCs w:val="32"/>
        </w:rPr>
        <w:t>　</w:t>
      </w:r>
      <w:r>
        <w:rPr>
          <w:rFonts w:hint="eastAsia" w:ascii="仿宋_GB2312" w:hAnsi="仿宋_GB2312" w:eastAsia="仿宋_GB2312" w:cs="仿宋_GB2312"/>
          <w:b w:val="0"/>
          <w:color w:val="auto"/>
          <w:sz w:val="32"/>
          <w:szCs w:val="32"/>
        </w:rPr>
        <w:t>信息变更表中</w:t>
      </w:r>
      <w:r>
        <w:rPr>
          <w:rFonts w:hint="eastAsia" w:cs="仿宋_GB2312"/>
          <w:b w:val="0"/>
          <w:color w:val="auto"/>
          <w:sz w:val="32"/>
          <w:szCs w:val="32"/>
          <w:lang w:eastAsia="zh-CN"/>
        </w:rPr>
        <w:t>“</w:t>
      </w:r>
      <w:r>
        <w:rPr>
          <w:rFonts w:hint="eastAsia" w:ascii="仿宋_GB2312" w:hAnsi="仿宋_GB2312" w:eastAsia="仿宋_GB2312" w:cs="仿宋_GB2312"/>
          <w:b w:val="0"/>
          <w:color w:val="auto"/>
          <w:sz w:val="32"/>
          <w:szCs w:val="32"/>
        </w:rPr>
        <w:t>评估</w:t>
      </w:r>
      <w:r>
        <w:rPr>
          <w:rFonts w:hint="eastAsia" w:ascii="仿宋_GB2312" w:hAnsi="仿宋_GB2312" w:eastAsia="仿宋_GB2312" w:cs="仿宋_GB2312"/>
          <w:color w:val="auto"/>
          <w:sz w:val="32"/>
          <w:szCs w:val="32"/>
        </w:rPr>
        <w:t>师人数</w:t>
      </w:r>
      <w:r>
        <w:rPr>
          <w:rFonts w:hint="eastAsia" w:cs="仿宋_GB2312"/>
          <w:color w:val="auto"/>
          <w:sz w:val="32"/>
          <w:szCs w:val="32"/>
          <w:lang w:eastAsia="zh-CN"/>
        </w:rPr>
        <w:t>”</w:t>
      </w:r>
      <w:r>
        <w:rPr>
          <w:rFonts w:hint="eastAsia" w:ascii="仿宋_GB2312" w:hAnsi="仿宋_GB2312" w:eastAsia="仿宋_GB2312" w:cs="仿宋_GB2312"/>
          <w:color w:val="auto"/>
          <w:sz w:val="32"/>
          <w:szCs w:val="32"/>
        </w:rPr>
        <w:t>仅指</w:t>
      </w:r>
      <w:r>
        <w:rPr>
          <w:rFonts w:hint="eastAsia" w:cs="仿宋_GB2312"/>
          <w:color w:val="auto"/>
          <w:sz w:val="32"/>
          <w:szCs w:val="32"/>
          <w:lang w:val="en-US" w:eastAsia="zh-CN"/>
        </w:rPr>
        <w:t>执业</w:t>
      </w:r>
      <w:r>
        <w:rPr>
          <w:rFonts w:hint="eastAsia" w:ascii="仿宋_GB2312" w:hAnsi="仿宋_GB2312" w:eastAsia="仿宋_GB2312" w:cs="仿宋_GB2312"/>
          <w:color w:val="auto"/>
          <w:sz w:val="32"/>
          <w:szCs w:val="32"/>
        </w:rPr>
        <w:t>资产评估师，不包含房地产估价师、土地估价师等其</w:t>
      </w:r>
      <w:r>
        <w:rPr>
          <w:rFonts w:hint="eastAsia" w:cs="仿宋_GB2312"/>
          <w:color w:val="auto"/>
          <w:sz w:val="32"/>
          <w:szCs w:val="32"/>
          <w:lang w:val="en-US" w:eastAsia="zh-CN"/>
        </w:rPr>
        <w:t>他</w:t>
      </w:r>
      <w:r>
        <w:rPr>
          <w:rFonts w:hint="eastAsia" w:ascii="仿宋_GB2312" w:hAnsi="仿宋_GB2312" w:eastAsia="仿宋_GB2312" w:cs="仿宋_GB2312"/>
          <w:color w:val="auto"/>
          <w:sz w:val="32"/>
          <w:szCs w:val="32"/>
        </w:rPr>
        <w:t>专业人员。</w:t>
      </w:r>
    </w:p>
    <w:p w14:paraId="25469137">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b/>
          <w:color w:val="auto"/>
          <w:sz w:val="32"/>
          <w:szCs w:val="32"/>
        </w:rPr>
      </w:pPr>
      <w:r>
        <w:rPr>
          <w:rFonts w:hint="eastAsia" w:ascii="黑体" w:hAnsi="黑体" w:eastAsia="黑体" w:cs="黑体"/>
          <w:b w:val="0"/>
          <w:bCs/>
          <w:color w:val="auto"/>
          <w:sz w:val="32"/>
          <w:szCs w:val="32"/>
          <w:lang w:val="en-US" w:eastAsia="zh-CN"/>
        </w:rPr>
        <w:t xml:space="preserve">第十一条  </w:t>
      </w:r>
      <w:r>
        <w:rPr>
          <w:rFonts w:hint="eastAsia" w:cs="仿宋_GB2312"/>
          <w:b w:val="0"/>
          <w:color w:val="auto"/>
          <w:sz w:val="32"/>
          <w:szCs w:val="32"/>
          <w:lang w:val="en-US" w:eastAsia="zh-CN"/>
        </w:rPr>
        <w:t>入库机构总部</w:t>
      </w:r>
      <w:r>
        <w:rPr>
          <w:rFonts w:hint="eastAsia" w:ascii="仿宋_GB2312" w:hAnsi="仿宋_GB2312" w:eastAsia="仿宋_GB2312" w:cs="仿宋_GB2312"/>
          <w:b w:val="0"/>
          <w:color w:val="auto"/>
          <w:sz w:val="32"/>
          <w:szCs w:val="32"/>
        </w:rPr>
        <w:t>评估师人数发生变更的，仅统计</w:t>
      </w:r>
      <w:r>
        <w:rPr>
          <w:rFonts w:hint="eastAsia" w:cs="仿宋_GB2312"/>
          <w:b w:val="0"/>
          <w:color w:val="auto"/>
          <w:sz w:val="32"/>
          <w:szCs w:val="32"/>
          <w:lang w:val="en-US" w:eastAsia="zh-CN"/>
        </w:rPr>
        <w:t>总</w:t>
      </w:r>
      <w:r>
        <w:rPr>
          <w:rFonts w:hint="eastAsia" w:ascii="仿宋_GB2312" w:hAnsi="仿宋_GB2312" w:eastAsia="仿宋_GB2312" w:cs="仿宋_GB2312"/>
          <w:b w:val="0"/>
          <w:color w:val="auto"/>
          <w:sz w:val="32"/>
          <w:szCs w:val="32"/>
        </w:rPr>
        <w:t>部</w:t>
      </w:r>
      <w:r>
        <w:rPr>
          <w:rFonts w:hint="eastAsia" w:cs="仿宋_GB2312"/>
          <w:b w:val="0"/>
          <w:color w:val="auto"/>
          <w:sz w:val="32"/>
          <w:szCs w:val="32"/>
          <w:lang w:val="en-US" w:eastAsia="zh-CN"/>
        </w:rPr>
        <w:t>执业</w:t>
      </w:r>
      <w:r>
        <w:rPr>
          <w:rFonts w:hint="eastAsia" w:ascii="仿宋_GB2312" w:hAnsi="仿宋_GB2312" w:eastAsia="仿宋_GB2312" w:cs="仿宋_GB2312"/>
          <w:b w:val="0"/>
          <w:color w:val="auto"/>
          <w:sz w:val="32"/>
          <w:szCs w:val="32"/>
        </w:rPr>
        <w:t>资产评估师数量，不</w:t>
      </w:r>
      <w:r>
        <w:rPr>
          <w:rFonts w:hint="eastAsia" w:cs="仿宋_GB2312"/>
          <w:b w:val="0"/>
          <w:color w:val="auto"/>
          <w:sz w:val="32"/>
          <w:szCs w:val="32"/>
          <w:lang w:val="en-US" w:eastAsia="zh-CN"/>
        </w:rPr>
        <w:t>包括</w:t>
      </w:r>
      <w:r>
        <w:rPr>
          <w:rFonts w:hint="eastAsia" w:ascii="仿宋_GB2312" w:hAnsi="仿宋_GB2312" w:eastAsia="仿宋_GB2312" w:cs="仿宋_GB2312"/>
          <w:b w:val="0"/>
          <w:color w:val="auto"/>
          <w:sz w:val="32"/>
          <w:szCs w:val="32"/>
        </w:rPr>
        <w:t>分支机构</w:t>
      </w:r>
      <w:r>
        <w:rPr>
          <w:rFonts w:hint="eastAsia" w:cs="仿宋_GB2312"/>
          <w:b w:val="0"/>
          <w:color w:val="auto"/>
          <w:sz w:val="32"/>
          <w:szCs w:val="32"/>
          <w:lang w:val="en-US" w:eastAsia="zh-CN"/>
        </w:rPr>
        <w:t>执业</w:t>
      </w:r>
      <w:r>
        <w:rPr>
          <w:rFonts w:hint="eastAsia" w:ascii="仿宋_GB2312" w:hAnsi="仿宋_GB2312" w:eastAsia="仿宋_GB2312" w:cs="仿宋_GB2312"/>
          <w:b w:val="0"/>
          <w:color w:val="auto"/>
          <w:sz w:val="32"/>
          <w:szCs w:val="32"/>
        </w:rPr>
        <w:t>资产评估师数量。</w:t>
      </w:r>
      <w:r>
        <w:rPr>
          <w:rFonts w:hint="eastAsia" w:ascii="黑体" w:hAnsi="黑体" w:eastAsia="黑体" w:cs="黑体"/>
          <w:b w:val="0"/>
          <w:bCs/>
          <w:color w:val="auto"/>
          <w:sz w:val="32"/>
          <w:szCs w:val="32"/>
          <w:lang w:val="en-US" w:eastAsia="zh-CN"/>
        </w:rPr>
        <w:t xml:space="preserve"> </w:t>
      </w:r>
    </w:p>
    <w:p w14:paraId="6BDD2D75">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黑体" w:hAnsi="黑体" w:eastAsia="黑体" w:cs="黑体"/>
          <w:b w:val="0"/>
          <w:bCs/>
          <w:color w:val="auto"/>
          <w:sz w:val="32"/>
          <w:szCs w:val="32"/>
          <w:lang w:val="en-US" w:eastAsia="zh-CN"/>
        </w:rPr>
        <w:t>第十二条</w:t>
      </w:r>
      <w:r>
        <w:rPr>
          <w:rFonts w:hint="eastAsia" w:ascii="仿宋_GB2312" w:hAnsi="仿宋_GB2312" w:eastAsia="仿宋_GB2312" w:cs="仿宋_GB2312"/>
          <w:b/>
          <w:color w:val="auto"/>
          <w:sz w:val="32"/>
          <w:szCs w:val="32"/>
        </w:rPr>
        <w:t>　</w:t>
      </w:r>
      <w:r>
        <w:rPr>
          <w:rFonts w:hint="eastAsia" w:ascii="仿宋_GB2312" w:hAnsi="仿宋_GB2312" w:eastAsia="仿宋_GB2312" w:cs="仿宋_GB2312"/>
          <w:color w:val="auto"/>
          <w:sz w:val="32"/>
          <w:szCs w:val="32"/>
        </w:rPr>
        <w:t>入库机构申请信息变更，应当</w:t>
      </w:r>
      <w:r>
        <w:rPr>
          <w:rFonts w:hint="eastAsia" w:cs="仿宋_GB2312"/>
          <w:color w:val="auto"/>
          <w:sz w:val="32"/>
          <w:szCs w:val="32"/>
          <w:lang w:val="en-US" w:eastAsia="zh-CN"/>
        </w:rPr>
        <w:t>于每月20日前将下列材料报送至省评协电子邮箱（sdpxjg@163.com）。</w:t>
      </w:r>
    </w:p>
    <w:p w14:paraId="6AA06AFA">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（一）</w:t>
      </w:r>
      <w:r>
        <w:rPr>
          <w:rFonts w:hint="eastAsia" w:ascii="仿宋_GB2312" w:hAnsi="仿宋_GB2312" w:eastAsia="仿宋_GB2312" w:cs="仿宋_GB2312"/>
          <w:color w:val="auto"/>
          <w:sz w:val="32"/>
          <w:szCs w:val="32"/>
        </w:rPr>
        <w:t>《机构信息变更表》</w:t>
      </w:r>
      <w:r>
        <w:rPr>
          <w:rFonts w:hint="eastAsia" w:ascii="仿宋_GB2312" w:hAnsi="仿宋_GB2312" w:eastAsia="仿宋_GB2312" w:cs="仿宋_GB2312"/>
          <w:b w:val="0"/>
          <w:color w:val="auto"/>
          <w:sz w:val="32"/>
          <w:szCs w:val="32"/>
        </w:rPr>
        <w:t>（加盖机构公章的PDF扫描版及可编辑Word版各一份）；</w:t>
      </w:r>
    </w:p>
    <w:p w14:paraId="2108646C">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（二）涉及资产评估师人数变更的，另附《资产评估师信息统计表》</w:t>
      </w:r>
      <w:r>
        <w:rPr>
          <w:rFonts w:hint="eastAsia" w:cs="仿宋_GB2312"/>
          <w:b w:val="0"/>
          <w:color w:val="auto"/>
          <w:sz w:val="32"/>
          <w:szCs w:val="32"/>
          <w:lang w:eastAsia="zh-CN"/>
        </w:rPr>
        <w:t>（</w:t>
      </w:r>
      <w:r>
        <w:rPr>
          <w:rFonts w:hint="eastAsia" w:ascii="仿宋_GB2312" w:hAnsi="仿宋_GB2312" w:eastAsia="仿宋_GB2312" w:cs="仿宋_GB2312"/>
          <w:b w:val="0"/>
          <w:color w:val="auto"/>
          <w:sz w:val="32"/>
          <w:szCs w:val="32"/>
        </w:rPr>
        <w:t>加盖机构公章的PDF扫描版及可编辑Word版各一份</w:t>
      </w:r>
      <w:r>
        <w:rPr>
          <w:rFonts w:hint="eastAsia" w:cs="仿宋_GB2312"/>
          <w:b w:val="0"/>
          <w:color w:val="auto"/>
          <w:sz w:val="32"/>
          <w:szCs w:val="32"/>
          <w:lang w:val="en-US" w:eastAsia="zh-CN"/>
        </w:rPr>
        <w:t>）</w:t>
      </w:r>
      <w:r>
        <w:rPr>
          <w:rFonts w:hint="eastAsia" w:ascii="仿宋_GB2312" w:hAnsi="仿宋_GB2312" w:eastAsia="仿宋_GB2312" w:cs="仿宋_GB2312"/>
          <w:b w:val="0"/>
          <w:color w:val="auto"/>
          <w:sz w:val="32"/>
          <w:szCs w:val="32"/>
        </w:rPr>
        <w:t>；</w:t>
      </w:r>
    </w:p>
    <w:p w14:paraId="16DE9A7D">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（三）与变更事项相关的证明材料（如营业执照变更通知书、法定代表人变更文件等</w:t>
      </w:r>
      <w:r>
        <w:rPr>
          <w:rFonts w:hint="eastAsia" w:cs="仿宋_GB2312"/>
          <w:b w:val="0"/>
          <w:color w:val="auto"/>
          <w:sz w:val="32"/>
          <w:szCs w:val="32"/>
          <w:lang w:val="en-US" w:eastAsia="zh-CN"/>
        </w:rPr>
        <w:t>的</w:t>
      </w:r>
      <w:r>
        <w:rPr>
          <w:rFonts w:hint="eastAsia" w:ascii="仿宋_GB2312" w:hAnsi="仿宋_GB2312" w:eastAsia="仿宋_GB2312" w:cs="仿宋_GB2312"/>
          <w:b w:val="0"/>
          <w:color w:val="auto"/>
          <w:sz w:val="32"/>
          <w:szCs w:val="32"/>
        </w:rPr>
        <w:t>PDF扫描版）；</w:t>
      </w:r>
    </w:p>
    <w:p w14:paraId="526E5A47">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（四）</w:t>
      </w:r>
      <w:r>
        <w:rPr>
          <w:rFonts w:hint="eastAsia" w:cs="仿宋_GB2312"/>
          <w:b w:val="0"/>
          <w:color w:val="auto"/>
          <w:sz w:val="32"/>
          <w:szCs w:val="32"/>
          <w:lang w:val="en-US" w:eastAsia="zh-CN"/>
        </w:rPr>
        <w:t>省</w:t>
      </w:r>
      <w:r>
        <w:rPr>
          <w:rFonts w:hint="eastAsia" w:cs="仿宋_GB2312"/>
          <w:b w:val="0"/>
          <w:color w:val="auto"/>
          <w:sz w:val="32"/>
          <w:szCs w:val="32"/>
          <w:lang w:eastAsia="zh-CN"/>
        </w:rPr>
        <w:t>评协</w:t>
      </w:r>
      <w:r>
        <w:rPr>
          <w:rFonts w:hint="eastAsia" w:ascii="仿宋_GB2312" w:hAnsi="仿宋_GB2312" w:eastAsia="仿宋_GB2312" w:cs="仿宋_GB2312"/>
          <w:b w:val="0"/>
          <w:color w:val="auto"/>
          <w:sz w:val="32"/>
          <w:szCs w:val="32"/>
        </w:rPr>
        <w:t>要求提供的</w:t>
      </w:r>
      <w:r>
        <w:rPr>
          <w:rFonts w:hint="eastAsia" w:cs="仿宋_GB2312"/>
          <w:b w:val="0"/>
          <w:color w:val="auto"/>
          <w:sz w:val="32"/>
          <w:szCs w:val="32"/>
          <w:lang w:eastAsia="zh-CN"/>
        </w:rPr>
        <w:t>其他</w:t>
      </w:r>
      <w:r>
        <w:rPr>
          <w:rFonts w:hint="eastAsia" w:ascii="仿宋_GB2312" w:hAnsi="仿宋_GB2312" w:eastAsia="仿宋_GB2312" w:cs="仿宋_GB2312"/>
          <w:b w:val="0"/>
          <w:color w:val="auto"/>
          <w:sz w:val="32"/>
          <w:szCs w:val="32"/>
        </w:rPr>
        <w:t>材料。</w:t>
      </w:r>
    </w:p>
    <w:p w14:paraId="0795EC22">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b w:val="0"/>
          <w:bCs/>
          <w:color w:val="auto"/>
          <w:sz w:val="32"/>
          <w:szCs w:val="32"/>
          <w:lang w:val="en-US" w:eastAsia="zh-CN"/>
        </w:rPr>
        <w:t>第十三条</w:t>
      </w:r>
      <w:r>
        <w:rPr>
          <w:rFonts w:hint="eastAsia" w:ascii="仿宋_GB2312" w:hAnsi="仿宋_GB2312" w:eastAsia="仿宋_GB2312" w:cs="仿宋_GB2312"/>
          <w:b/>
          <w:color w:val="auto"/>
          <w:sz w:val="32"/>
          <w:szCs w:val="32"/>
        </w:rPr>
        <w:t>　</w:t>
      </w:r>
      <w:r>
        <w:rPr>
          <w:rFonts w:hint="eastAsia" w:ascii="仿宋_GB2312" w:hAnsi="仿宋_GB2312" w:eastAsia="仿宋_GB2312" w:cs="仿宋_GB2312"/>
          <w:color w:val="auto"/>
          <w:sz w:val="32"/>
          <w:szCs w:val="32"/>
        </w:rPr>
        <w:t>机构填写信息变更应当遵守下列</w:t>
      </w:r>
      <w:r>
        <w:rPr>
          <w:rFonts w:hint="eastAsia" w:cs="仿宋_GB2312"/>
          <w:color w:val="auto"/>
          <w:sz w:val="32"/>
          <w:szCs w:val="32"/>
          <w:lang w:val="en-US" w:eastAsia="zh-CN"/>
        </w:rPr>
        <w:t>规则</w:t>
      </w:r>
      <w:r>
        <w:rPr>
          <w:rFonts w:hint="eastAsia" w:ascii="仿宋_GB2312" w:hAnsi="仿宋_GB2312" w:eastAsia="仿宋_GB2312" w:cs="仿宋_GB2312"/>
          <w:color w:val="auto"/>
          <w:sz w:val="32"/>
          <w:szCs w:val="32"/>
        </w:rPr>
        <w:t>：</w:t>
      </w:r>
    </w:p>
    <w:p w14:paraId="673C3901">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（一）机构全称为必填项，应当与营业执照和资产评估行业管理统一信息平台中的名称保持一致；</w:t>
      </w:r>
    </w:p>
    <w:p w14:paraId="16A6482F">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（二）有变更的内容应当如实填写，无变更的内容注明</w:t>
      </w:r>
      <w:r>
        <w:rPr>
          <w:rFonts w:hint="eastAsia" w:cs="仿宋_GB2312"/>
          <w:b w:val="0"/>
          <w:color w:val="auto"/>
          <w:sz w:val="32"/>
          <w:szCs w:val="32"/>
          <w:lang w:eastAsia="zh-CN"/>
        </w:rPr>
        <w:t>“</w:t>
      </w:r>
      <w:r>
        <w:rPr>
          <w:rFonts w:hint="eastAsia" w:cs="仿宋_GB2312"/>
          <w:b w:val="0"/>
          <w:color w:val="auto"/>
          <w:sz w:val="32"/>
          <w:szCs w:val="32"/>
          <w:lang w:val="en-US" w:eastAsia="zh-CN"/>
        </w:rPr>
        <w:t>/</w:t>
      </w:r>
      <w:r>
        <w:rPr>
          <w:rFonts w:hint="eastAsia" w:cs="仿宋_GB2312"/>
          <w:b w:val="0"/>
          <w:color w:val="auto"/>
          <w:sz w:val="32"/>
          <w:szCs w:val="32"/>
          <w:lang w:eastAsia="zh-CN"/>
        </w:rPr>
        <w:t>”</w:t>
      </w:r>
      <w:r>
        <w:rPr>
          <w:rFonts w:hint="eastAsia" w:ascii="仿宋_GB2312" w:hAnsi="仿宋_GB2312" w:eastAsia="仿宋_GB2312" w:cs="仿宋_GB2312"/>
          <w:b w:val="0"/>
          <w:color w:val="auto"/>
          <w:sz w:val="32"/>
          <w:szCs w:val="32"/>
        </w:rPr>
        <w:t>；</w:t>
      </w:r>
    </w:p>
    <w:p w14:paraId="6EC43C2A">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（三）</w:t>
      </w:r>
      <w:r>
        <w:rPr>
          <w:rFonts w:hint="eastAsia" w:cs="仿宋_GB2312"/>
          <w:b w:val="0"/>
          <w:color w:val="auto"/>
          <w:sz w:val="32"/>
          <w:szCs w:val="32"/>
          <w:lang w:eastAsia="zh-CN"/>
        </w:rPr>
        <w:t>“</w:t>
      </w:r>
      <w:r>
        <w:rPr>
          <w:rFonts w:hint="eastAsia" w:ascii="仿宋_GB2312" w:hAnsi="仿宋_GB2312" w:eastAsia="仿宋_GB2312" w:cs="仿宋_GB2312"/>
          <w:b w:val="0"/>
          <w:color w:val="auto"/>
          <w:sz w:val="32"/>
          <w:szCs w:val="32"/>
        </w:rPr>
        <w:t>机构代码</w:t>
      </w:r>
      <w:r>
        <w:rPr>
          <w:rFonts w:hint="eastAsia" w:cs="仿宋_GB2312"/>
          <w:b w:val="0"/>
          <w:color w:val="auto"/>
          <w:sz w:val="32"/>
          <w:szCs w:val="32"/>
          <w:lang w:eastAsia="zh-CN"/>
        </w:rPr>
        <w:t>”</w:t>
      </w:r>
      <w:r>
        <w:rPr>
          <w:rFonts w:hint="eastAsia" w:ascii="仿宋_GB2312" w:hAnsi="仿宋_GB2312" w:eastAsia="仿宋_GB2312" w:cs="仿宋_GB2312"/>
          <w:b w:val="0"/>
          <w:color w:val="auto"/>
          <w:sz w:val="32"/>
          <w:szCs w:val="32"/>
        </w:rPr>
        <w:t>应当准确填写，确保与</w:t>
      </w:r>
      <w:r>
        <w:rPr>
          <w:rFonts w:hint="eastAsia" w:cs="仿宋_GB2312"/>
          <w:b w:val="0"/>
          <w:color w:val="auto"/>
          <w:sz w:val="32"/>
          <w:szCs w:val="32"/>
          <w:lang w:val="en-US" w:eastAsia="zh-CN"/>
        </w:rPr>
        <w:t>名单</w:t>
      </w:r>
      <w:r>
        <w:rPr>
          <w:rFonts w:hint="eastAsia" w:ascii="仿宋_GB2312" w:hAnsi="仿宋_GB2312" w:eastAsia="仿宋_GB2312" w:cs="仿宋_GB2312"/>
          <w:b w:val="0"/>
          <w:color w:val="auto"/>
          <w:sz w:val="32"/>
          <w:szCs w:val="32"/>
        </w:rPr>
        <w:t>库登记信息一致；</w:t>
      </w:r>
    </w:p>
    <w:p w14:paraId="1CFBD4B3">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val="0"/>
          <w:color w:val="auto"/>
          <w:sz w:val="32"/>
          <w:szCs w:val="32"/>
        </w:rPr>
        <w:t>（四）</w:t>
      </w:r>
      <w:r>
        <w:rPr>
          <w:rFonts w:hint="eastAsia" w:cs="仿宋_GB2312"/>
          <w:b w:val="0"/>
          <w:color w:val="auto"/>
          <w:sz w:val="32"/>
          <w:szCs w:val="32"/>
          <w:lang w:val="en-US" w:eastAsia="zh-CN"/>
        </w:rPr>
        <w:t>《资产评估师信息统计表》应填写全部执业评估师人员名单</w:t>
      </w:r>
      <w:r>
        <w:rPr>
          <w:rFonts w:hint="eastAsia" w:cs="仿宋_GB2312"/>
          <w:b w:val="0"/>
          <w:color w:val="auto"/>
          <w:sz w:val="32"/>
          <w:szCs w:val="32"/>
          <w:lang w:eastAsia="zh-CN"/>
        </w:rPr>
        <w:t>；</w:t>
      </w:r>
    </w:p>
    <w:p w14:paraId="4525FC50">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cs="仿宋_GB2312"/>
          <w:b w:val="0"/>
          <w:color w:val="auto"/>
          <w:sz w:val="32"/>
          <w:szCs w:val="32"/>
          <w:lang w:eastAsia="zh-CN"/>
        </w:rPr>
      </w:pPr>
      <w:r>
        <w:rPr>
          <w:rFonts w:hint="eastAsia" w:cs="仿宋_GB2312"/>
          <w:b w:val="0"/>
          <w:color w:val="auto"/>
          <w:sz w:val="32"/>
          <w:szCs w:val="32"/>
          <w:lang w:val="en-US" w:eastAsia="zh-CN"/>
        </w:rPr>
        <w:t>（五）</w:t>
      </w:r>
      <w:r>
        <w:rPr>
          <w:rFonts w:hint="eastAsia" w:ascii="仿宋_GB2312" w:hAnsi="仿宋_GB2312" w:eastAsia="仿宋_GB2312" w:cs="仿宋_GB2312"/>
          <w:b w:val="0"/>
          <w:color w:val="auto"/>
          <w:sz w:val="32"/>
          <w:szCs w:val="32"/>
        </w:rPr>
        <w:t>表格须加盖</w:t>
      </w:r>
      <w:r>
        <w:rPr>
          <w:rFonts w:hint="eastAsia" w:cs="仿宋_GB2312"/>
          <w:b w:val="0"/>
          <w:color w:val="auto"/>
          <w:sz w:val="32"/>
          <w:szCs w:val="32"/>
          <w:lang w:val="en-US" w:eastAsia="zh-CN"/>
        </w:rPr>
        <w:t>入库</w:t>
      </w:r>
      <w:r>
        <w:rPr>
          <w:rFonts w:hint="eastAsia" w:ascii="仿宋_GB2312" w:hAnsi="仿宋_GB2312" w:eastAsia="仿宋_GB2312" w:cs="仿宋_GB2312"/>
          <w:b w:val="0"/>
          <w:color w:val="auto"/>
          <w:sz w:val="32"/>
          <w:szCs w:val="32"/>
        </w:rPr>
        <w:t>机构公章</w:t>
      </w:r>
      <w:r>
        <w:rPr>
          <w:rFonts w:hint="eastAsia" w:cs="仿宋_GB2312"/>
          <w:b w:val="0"/>
          <w:color w:val="auto"/>
          <w:sz w:val="32"/>
          <w:szCs w:val="32"/>
          <w:lang w:eastAsia="zh-CN"/>
        </w:rPr>
        <w:t>。</w:t>
      </w:r>
    </w:p>
    <w:p w14:paraId="0E2BECE0">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b w:val="0"/>
          <w:bCs/>
          <w:color w:val="auto"/>
          <w:sz w:val="32"/>
          <w:szCs w:val="32"/>
          <w:lang w:val="en-US" w:eastAsia="zh-CN"/>
        </w:rPr>
        <w:t>第十四条</w:t>
      </w:r>
      <w:r>
        <w:rPr>
          <w:rFonts w:hint="eastAsia" w:ascii="仿宋_GB2312" w:hAnsi="仿宋_GB2312" w:eastAsia="仿宋_GB2312" w:cs="仿宋_GB2312"/>
          <w:b/>
          <w:color w:val="auto"/>
          <w:sz w:val="32"/>
          <w:szCs w:val="32"/>
        </w:rPr>
        <w:t>　</w:t>
      </w:r>
      <w:r>
        <w:rPr>
          <w:rFonts w:hint="eastAsia" w:cs="仿宋_GB2312"/>
          <w:b w:val="0"/>
          <w:color w:val="auto"/>
          <w:sz w:val="32"/>
          <w:szCs w:val="32"/>
          <w:lang w:val="en-US" w:eastAsia="zh-CN"/>
        </w:rPr>
        <w:t>省评协收到变更申</w:t>
      </w:r>
      <w:r>
        <w:rPr>
          <w:rFonts w:hint="eastAsia" w:ascii="仿宋_GB2312" w:hAnsi="仿宋_GB2312" w:eastAsia="仿宋_GB2312" w:cs="仿宋_GB2312"/>
          <w:color w:val="auto"/>
          <w:sz w:val="32"/>
          <w:szCs w:val="32"/>
        </w:rPr>
        <w:t>请后，应当在</w:t>
      </w:r>
      <w:r>
        <w:rPr>
          <w:rFonts w:hint="eastAsia" w:cs="仿宋_GB2312"/>
          <w:color w:val="auto"/>
          <w:sz w:val="32"/>
          <w:szCs w:val="32"/>
          <w:lang w:val="en-US" w:eastAsia="zh-CN"/>
        </w:rPr>
        <w:t>5</w:t>
      </w:r>
      <w:r>
        <w:rPr>
          <w:rFonts w:hint="eastAsia" w:ascii="仿宋_GB2312" w:hAnsi="仿宋_GB2312" w:eastAsia="仿宋_GB2312" w:cs="仿宋_GB2312"/>
          <w:color w:val="auto"/>
          <w:sz w:val="32"/>
          <w:szCs w:val="32"/>
        </w:rPr>
        <w:t>个工作日内完成形式审查：</w:t>
      </w:r>
    </w:p>
    <w:p w14:paraId="6CE95B5E">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（一）申请材料齐全、符合要求的，予以受理；</w:t>
      </w:r>
    </w:p>
    <w:p w14:paraId="67CF0887">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（二）申请材料不齐全或不符合要求的，</w:t>
      </w:r>
      <w:r>
        <w:rPr>
          <w:rFonts w:hint="eastAsia" w:cs="仿宋_GB2312"/>
          <w:b w:val="0"/>
          <w:color w:val="auto"/>
          <w:sz w:val="32"/>
          <w:szCs w:val="32"/>
          <w:lang w:val="en-US" w:eastAsia="zh-CN"/>
        </w:rPr>
        <w:t>通过“山东省资产评估机构工作联络群”QQ交流群</w:t>
      </w:r>
      <w:r>
        <w:rPr>
          <w:rFonts w:hint="eastAsia" w:ascii="仿宋_GB2312" w:hAnsi="仿宋_GB2312" w:eastAsia="仿宋_GB2312" w:cs="仿宋_GB2312"/>
          <w:b w:val="0"/>
          <w:color w:val="auto"/>
          <w:sz w:val="32"/>
          <w:szCs w:val="32"/>
        </w:rPr>
        <w:t>一次性告知</w:t>
      </w:r>
      <w:r>
        <w:rPr>
          <w:rFonts w:hint="eastAsia" w:cs="仿宋_GB2312"/>
          <w:b w:val="0"/>
          <w:color w:val="auto"/>
          <w:sz w:val="32"/>
          <w:szCs w:val="32"/>
          <w:lang w:val="en-US" w:eastAsia="zh-CN"/>
        </w:rPr>
        <w:t>入库</w:t>
      </w:r>
      <w:r>
        <w:rPr>
          <w:rFonts w:hint="eastAsia" w:ascii="仿宋_GB2312" w:hAnsi="仿宋_GB2312" w:eastAsia="仿宋_GB2312" w:cs="仿宋_GB2312"/>
          <w:b w:val="0"/>
          <w:color w:val="auto"/>
          <w:sz w:val="32"/>
          <w:szCs w:val="32"/>
        </w:rPr>
        <w:t>机构需要补正的全部内容</w:t>
      </w:r>
      <w:r>
        <w:rPr>
          <w:rFonts w:hint="eastAsia" w:cs="仿宋_GB2312"/>
          <w:b w:val="0"/>
          <w:color w:val="auto"/>
          <w:sz w:val="32"/>
          <w:szCs w:val="32"/>
          <w:lang w:eastAsia="zh-CN"/>
        </w:rPr>
        <w:t>。</w:t>
      </w:r>
      <w:r>
        <w:rPr>
          <w:rFonts w:hint="eastAsia" w:ascii="仿宋_GB2312" w:hAnsi="仿宋_GB2312" w:eastAsia="仿宋_GB2312" w:cs="仿宋_GB2312"/>
          <w:b w:val="0"/>
          <w:color w:val="auto"/>
          <w:sz w:val="32"/>
          <w:szCs w:val="32"/>
        </w:rPr>
        <w:t>机构应当在</w:t>
      </w:r>
      <w:r>
        <w:rPr>
          <w:rFonts w:hint="eastAsia" w:cs="仿宋_GB2312"/>
          <w:b w:val="0"/>
          <w:color w:val="auto"/>
          <w:sz w:val="32"/>
          <w:szCs w:val="32"/>
          <w:lang w:val="en-US" w:eastAsia="zh-CN"/>
        </w:rPr>
        <w:t>3</w:t>
      </w:r>
      <w:r>
        <w:rPr>
          <w:rFonts w:hint="eastAsia" w:ascii="仿宋_GB2312" w:hAnsi="仿宋_GB2312" w:eastAsia="仿宋_GB2312" w:cs="仿宋_GB2312"/>
          <w:b w:val="0"/>
          <w:color w:val="auto"/>
          <w:sz w:val="32"/>
          <w:szCs w:val="32"/>
        </w:rPr>
        <w:t>个工作日内补正</w:t>
      </w:r>
      <w:r>
        <w:rPr>
          <w:rFonts w:hint="eastAsia" w:cs="仿宋_GB2312"/>
          <w:b w:val="0"/>
          <w:color w:val="auto"/>
          <w:sz w:val="32"/>
          <w:szCs w:val="32"/>
          <w:lang w:val="en-US" w:eastAsia="zh-CN"/>
        </w:rPr>
        <w:t>后报送省评协</w:t>
      </w:r>
      <w:r>
        <w:rPr>
          <w:rFonts w:hint="eastAsia" w:ascii="仿宋_GB2312" w:hAnsi="仿宋_GB2312" w:eastAsia="仿宋_GB2312" w:cs="仿宋_GB2312"/>
          <w:b w:val="0"/>
          <w:color w:val="auto"/>
          <w:sz w:val="32"/>
          <w:szCs w:val="32"/>
        </w:rPr>
        <w:t>；</w:t>
      </w:r>
    </w:p>
    <w:p w14:paraId="53BA13F6">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（三）不在</w:t>
      </w:r>
      <w:r>
        <w:rPr>
          <w:rFonts w:hint="eastAsia" w:cs="仿宋_GB2312"/>
          <w:b w:val="0"/>
          <w:color w:val="auto"/>
          <w:sz w:val="32"/>
          <w:szCs w:val="32"/>
          <w:lang w:val="en-US" w:eastAsia="zh-CN"/>
        </w:rPr>
        <w:t>名单库</w:t>
      </w:r>
      <w:r>
        <w:rPr>
          <w:rFonts w:hint="eastAsia" w:ascii="仿宋_GB2312" w:hAnsi="仿宋_GB2312" w:eastAsia="仿宋_GB2312" w:cs="仿宋_GB2312"/>
          <w:b w:val="0"/>
          <w:color w:val="auto"/>
          <w:sz w:val="32"/>
          <w:szCs w:val="32"/>
        </w:rPr>
        <w:t>中的机构，不予受理。</w:t>
      </w:r>
    </w:p>
    <w:p w14:paraId="48908EC7">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b w:val="0"/>
          <w:bCs/>
          <w:color w:val="auto"/>
          <w:sz w:val="32"/>
          <w:szCs w:val="32"/>
          <w:lang w:val="en-US" w:eastAsia="zh-CN"/>
        </w:rPr>
        <w:t>第十五条</w:t>
      </w:r>
      <w:r>
        <w:rPr>
          <w:rFonts w:hint="eastAsia" w:ascii="仿宋_GB2312" w:hAnsi="仿宋_GB2312" w:eastAsia="仿宋_GB2312" w:cs="仿宋_GB2312"/>
          <w:b/>
          <w:color w:val="auto"/>
          <w:sz w:val="32"/>
          <w:szCs w:val="32"/>
        </w:rPr>
        <w:t>　</w:t>
      </w:r>
      <w:r>
        <w:rPr>
          <w:rFonts w:hint="eastAsia" w:cs="仿宋_GB2312"/>
          <w:b w:val="0"/>
          <w:color w:val="auto"/>
          <w:sz w:val="32"/>
          <w:szCs w:val="32"/>
          <w:lang w:val="en-US" w:eastAsia="zh-CN"/>
        </w:rPr>
        <w:t>省评协对受理的</w:t>
      </w:r>
      <w:r>
        <w:rPr>
          <w:rFonts w:hint="eastAsia" w:ascii="仿宋_GB2312" w:hAnsi="仿宋_GB2312" w:eastAsia="仿宋_GB2312" w:cs="仿宋_GB2312"/>
          <w:color w:val="auto"/>
          <w:sz w:val="32"/>
          <w:szCs w:val="32"/>
        </w:rPr>
        <w:t>变更申请重点审核下列内容：</w:t>
      </w:r>
    </w:p>
    <w:p w14:paraId="2B9335EB">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（一）申请机构是否在</w:t>
      </w:r>
      <w:r>
        <w:rPr>
          <w:rFonts w:hint="eastAsia" w:cs="仿宋_GB2312"/>
          <w:b w:val="0"/>
          <w:color w:val="auto"/>
          <w:sz w:val="32"/>
          <w:szCs w:val="32"/>
          <w:lang w:val="en-US" w:eastAsia="zh-CN"/>
        </w:rPr>
        <w:t>名单</w:t>
      </w:r>
      <w:r>
        <w:rPr>
          <w:rFonts w:hint="eastAsia" w:ascii="仿宋_GB2312" w:hAnsi="仿宋_GB2312" w:eastAsia="仿宋_GB2312" w:cs="仿宋_GB2312"/>
          <w:b w:val="0"/>
          <w:color w:val="auto"/>
          <w:sz w:val="32"/>
          <w:szCs w:val="32"/>
        </w:rPr>
        <w:t>库中登记在册；</w:t>
      </w:r>
    </w:p>
    <w:p w14:paraId="170EACD0">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（二）</w:t>
      </w:r>
      <w:r>
        <w:rPr>
          <w:rFonts w:hint="eastAsia" w:cs="仿宋_GB2312"/>
          <w:b w:val="0"/>
          <w:color w:val="auto"/>
          <w:sz w:val="32"/>
          <w:szCs w:val="32"/>
          <w:lang w:eastAsia="zh-CN"/>
        </w:rPr>
        <w:t>“</w:t>
      </w:r>
      <w:r>
        <w:rPr>
          <w:rFonts w:hint="eastAsia" w:ascii="仿宋_GB2312" w:hAnsi="仿宋_GB2312" w:eastAsia="仿宋_GB2312" w:cs="仿宋_GB2312"/>
          <w:b w:val="0"/>
          <w:color w:val="auto"/>
          <w:sz w:val="32"/>
          <w:szCs w:val="32"/>
        </w:rPr>
        <w:t>机构代码</w:t>
      </w:r>
      <w:r>
        <w:rPr>
          <w:rFonts w:hint="eastAsia" w:cs="仿宋_GB2312"/>
          <w:b w:val="0"/>
          <w:color w:val="auto"/>
          <w:sz w:val="32"/>
          <w:szCs w:val="32"/>
          <w:lang w:eastAsia="zh-CN"/>
        </w:rPr>
        <w:t>”</w:t>
      </w:r>
      <w:r>
        <w:rPr>
          <w:rFonts w:hint="eastAsia" w:ascii="仿宋_GB2312" w:hAnsi="仿宋_GB2312" w:eastAsia="仿宋_GB2312" w:cs="仿宋_GB2312"/>
          <w:b w:val="0"/>
          <w:color w:val="auto"/>
          <w:sz w:val="32"/>
          <w:szCs w:val="32"/>
        </w:rPr>
        <w:t>填写是否准确，是否与</w:t>
      </w:r>
      <w:r>
        <w:rPr>
          <w:rFonts w:hint="eastAsia" w:cs="仿宋_GB2312"/>
          <w:b w:val="0"/>
          <w:color w:val="auto"/>
          <w:sz w:val="32"/>
          <w:szCs w:val="32"/>
          <w:lang w:val="en-US" w:eastAsia="zh-CN"/>
        </w:rPr>
        <w:t>名单</w:t>
      </w:r>
      <w:r>
        <w:rPr>
          <w:rFonts w:hint="eastAsia" w:ascii="仿宋_GB2312" w:hAnsi="仿宋_GB2312" w:eastAsia="仿宋_GB2312" w:cs="仿宋_GB2312"/>
          <w:b w:val="0"/>
          <w:color w:val="auto"/>
          <w:sz w:val="32"/>
          <w:szCs w:val="32"/>
        </w:rPr>
        <w:t>库登记信息一致；</w:t>
      </w:r>
    </w:p>
    <w:p w14:paraId="11125CA3">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（三）变更事项是否属于可变更范围；</w:t>
      </w:r>
    </w:p>
    <w:p w14:paraId="1183CF77">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（四）资产评估师人数统计口径是否正确，名单信息是否完整；</w:t>
      </w:r>
    </w:p>
    <w:p w14:paraId="0592BF54">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（五）变更信息是否有合法有效的证明材料支撑；</w:t>
      </w:r>
    </w:p>
    <w:p w14:paraId="4C88C92A">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（六）</w:t>
      </w:r>
      <w:r>
        <w:rPr>
          <w:rFonts w:hint="eastAsia" w:cs="仿宋_GB2312"/>
          <w:b w:val="0"/>
          <w:color w:val="auto"/>
          <w:sz w:val="32"/>
          <w:szCs w:val="32"/>
          <w:lang w:eastAsia="zh-CN"/>
        </w:rPr>
        <w:t>其他</w:t>
      </w:r>
      <w:r>
        <w:rPr>
          <w:rFonts w:hint="eastAsia" w:ascii="仿宋_GB2312" w:hAnsi="仿宋_GB2312" w:eastAsia="仿宋_GB2312" w:cs="仿宋_GB2312"/>
          <w:b w:val="0"/>
          <w:color w:val="auto"/>
          <w:sz w:val="32"/>
          <w:szCs w:val="32"/>
        </w:rPr>
        <w:t>需要审核的事项。</w:t>
      </w:r>
    </w:p>
    <w:p w14:paraId="7F5FFE47">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b w:val="0"/>
          <w:bCs/>
          <w:color w:val="auto"/>
          <w:sz w:val="32"/>
          <w:szCs w:val="32"/>
          <w:lang w:val="en-US" w:eastAsia="zh-CN"/>
        </w:rPr>
        <w:t>第十六条</w:t>
      </w:r>
      <w:r>
        <w:rPr>
          <w:rFonts w:hint="eastAsia" w:ascii="仿宋_GB2312" w:hAnsi="仿宋_GB2312" w:eastAsia="仿宋_GB2312" w:cs="仿宋_GB2312"/>
          <w:b/>
          <w:color w:val="auto"/>
          <w:sz w:val="32"/>
          <w:szCs w:val="32"/>
        </w:rPr>
        <w:t>　</w:t>
      </w:r>
      <w:r>
        <w:rPr>
          <w:rFonts w:hint="eastAsia" w:ascii="仿宋_GB2312" w:hAnsi="仿宋_GB2312" w:eastAsia="仿宋_GB2312" w:cs="仿宋_GB2312"/>
          <w:color w:val="auto"/>
          <w:sz w:val="32"/>
          <w:szCs w:val="32"/>
          <w:lang w:val="en-US" w:eastAsia="zh-CN"/>
        </w:rPr>
        <w:t>省</w:t>
      </w:r>
      <w:r>
        <w:rPr>
          <w:rFonts w:hint="eastAsia" w:ascii="仿宋_GB2312" w:hAnsi="仿宋_GB2312" w:eastAsia="仿宋_GB2312" w:cs="仿宋_GB2312"/>
          <w:color w:val="auto"/>
          <w:sz w:val="32"/>
          <w:szCs w:val="32"/>
          <w:lang w:eastAsia="zh-CN"/>
        </w:rPr>
        <w:t>评协</w:t>
      </w:r>
      <w:r>
        <w:rPr>
          <w:rFonts w:hint="eastAsia" w:ascii="仿宋_GB2312" w:hAnsi="仿宋_GB2312" w:eastAsia="仿宋_GB2312" w:cs="仿宋_GB2312"/>
          <w:color w:val="auto"/>
          <w:sz w:val="32"/>
          <w:szCs w:val="32"/>
        </w:rPr>
        <w:t>汇总审核通过的变更信息，形成《机构信息变更汇总表》，连同相关材料</w:t>
      </w:r>
      <w:r>
        <w:rPr>
          <w:rFonts w:hint="eastAsia" w:cs="仿宋_GB2312"/>
          <w:color w:val="auto"/>
          <w:sz w:val="32"/>
          <w:szCs w:val="32"/>
          <w:lang w:val="en-US" w:eastAsia="zh-CN"/>
        </w:rPr>
        <w:t>定期</w:t>
      </w:r>
      <w:r>
        <w:rPr>
          <w:rFonts w:hint="eastAsia" w:ascii="仿宋_GB2312" w:hAnsi="仿宋_GB2312" w:eastAsia="仿宋_GB2312" w:cs="仿宋_GB2312"/>
          <w:color w:val="auto"/>
          <w:sz w:val="32"/>
          <w:szCs w:val="32"/>
        </w:rPr>
        <w:t>报送中评协。</w:t>
      </w:r>
    </w:p>
    <w:p w14:paraId="49679437">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黑体" w:hAnsi="黑体" w:eastAsia="黑体" w:cs="黑体"/>
          <w:b w:val="0"/>
          <w:bCs/>
          <w:color w:val="auto"/>
          <w:sz w:val="32"/>
          <w:szCs w:val="32"/>
          <w:lang w:val="en-US" w:eastAsia="zh-CN"/>
        </w:rPr>
        <w:t>第十七条</w:t>
      </w:r>
      <w:r>
        <w:rPr>
          <w:rFonts w:hint="eastAsia" w:ascii="仿宋_GB2312" w:hAnsi="仿宋_GB2312" w:eastAsia="仿宋_GB2312" w:cs="仿宋_GB2312"/>
          <w:b/>
          <w:color w:val="auto"/>
          <w:sz w:val="32"/>
          <w:szCs w:val="32"/>
        </w:rPr>
        <w:t>　</w:t>
      </w:r>
      <w:r>
        <w:rPr>
          <w:rFonts w:hint="eastAsia" w:ascii="仿宋_GB2312" w:hAnsi="仿宋_GB2312" w:eastAsia="仿宋_GB2312" w:cs="仿宋_GB2312"/>
          <w:color w:val="auto"/>
          <w:sz w:val="32"/>
          <w:szCs w:val="32"/>
        </w:rPr>
        <w:t>入库机构有下列情形之一的，按退库处理：</w:t>
      </w:r>
    </w:p>
    <w:p w14:paraId="14791946">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b w:val="0"/>
          <w:color w:val="auto"/>
          <w:sz w:val="32"/>
          <w:szCs w:val="32"/>
        </w:rPr>
      </w:pPr>
      <w:r>
        <w:rPr>
          <w:rFonts w:hint="eastAsia" w:ascii="仿宋_GB2312" w:hAnsi="仿宋_GB2312" w:eastAsia="仿宋_GB2312" w:cs="仿宋_GB2312"/>
          <w:b w:val="0"/>
          <w:color w:val="auto"/>
          <w:sz w:val="32"/>
          <w:szCs w:val="32"/>
        </w:rPr>
        <w:t>（一）被纳入失信被执行人名单的；</w:t>
      </w:r>
    </w:p>
    <w:p w14:paraId="24D769A9">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b w:val="0"/>
          <w:color w:val="auto"/>
          <w:sz w:val="32"/>
          <w:szCs w:val="32"/>
        </w:rPr>
      </w:pPr>
      <w:r>
        <w:rPr>
          <w:rFonts w:hint="eastAsia" w:ascii="仿宋_GB2312" w:hAnsi="仿宋_GB2312" w:eastAsia="仿宋_GB2312" w:cs="仿宋_GB2312"/>
          <w:b w:val="0"/>
          <w:color w:val="auto"/>
          <w:sz w:val="32"/>
          <w:szCs w:val="32"/>
        </w:rPr>
        <w:t>（二）因违反资产评估法或者评估行业监督管理办法被有关部门处罚的；</w:t>
      </w:r>
    </w:p>
    <w:p w14:paraId="17C30371">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b w:val="0"/>
          <w:color w:val="auto"/>
          <w:sz w:val="32"/>
          <w:szCs w:val="32"/>
        </w:rPr>
      </w:pPr>
      <w:r>
        <w:rPr>
          <w:rFonts w:hint="eastAsia" w:ascii="仿宋_GB2312" w:hAnsi="仿宋_GB2312" w:eastAsia="仿宋_GB2312" w:cs="仿宋_GB2312"/>
          <w:b w:val="0"/>
          <w:color w:val="auto"/>
          <w:sz w:val="32"/>
          <w:szCs w:val="32"/>
        </w:rPr>
        <w:t>（三）已办理企业注销登记的；</w:t>
      </w:r>
    </w:p>
    <w:p w14:paraId="3BEA4913">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b w:val="0"/>
          <w:color w:val="auto"/>
          <w:sz w:val="32"/>
          <w:szCs w:val="32"/>
        </w:rPr>
      </w:pPr>
      <w:r>
        <w:rPr>
          <w:rFonts w:hint="eastAsia" w:ascii="仿宋_GB2312" w:hAnsi="仿宋_GB2312" w:eastAsia="仿宋_GB2312" w:cs="仿宋_GB2312"/>
          <w:b w:val="0"/>
          <w:color w:val="auto"/>
          <w:sz w:val="32"/>
          <w:szCs w:val="32"/>
        </w:rPr>
        <w:t>（四）已被市场监管部门吊销营业执照的；</w:t>
      </w:r>
    </w:p>
    <w:p w14:paraId="1B7101D7">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b w:val="0"/>
          <w:color w:val="auto"/>
          <w:sz w:val="32"/>
          <w:szCs w:val="32"/>
        </w:rPr>
      </w:pPr>
      <w:r>
        <w:rPr>
          <w:rFonts w:hint="eastAsia" w:ascii="仿宋_GB2312" w:hAnsi="仿宋_GB2312" w:eastAsia="仿宋_GB2312" w:cs="仿宋_GB2312"/>
          <w:b w:val="0"/>
          <w:color w:val="auto"/>
          <w:sz w:val="32"/>
          <w:szCs w:val="32"/>
        </w:rPr>
        <w:t>（五）违反行业自律管理规定，受到通报批评（含）以上自律惩戒的；</w:t>
      </w:r>
    </w:p>
    <w:p w14:paraId="5DBF8080">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b w:val="0"/>
          <w:color w:val="auto"/>
          <w:sz w:val="32"/>
          <w:szCs w:val="32"/>
        </w:rPr>
      </w:pPr>
      <w:r>
        <w:rPr>
          <w:rFonts w:hint="eastAsia" w:ascii="仿宋_GB2312" w:hAnsi="仿宋_GB2312" w:eastAsia="仿宋_GB2312" w:cs="仿宋_GB2312"/>
          <w:b w:val="0"/>
          <w:color w:val="auto"/>
          <w:sz w:val="32"/>
          <w:szCs w:val="32"/>
        </w:rPr>
        <w:t>（六）无正当理由拒绝进行司法评估的；</w:t>
      </w:r>
    </w:p>
    <w:p w14:paraId="3170C4C4">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b w:val="0"/>
          <w:color w:val="auto"/>
          <w:sz w:val="32"/>
          <w:szCs w:val="32"/>
        </w:rPr>
      </w:pPr>
      <w:r>
        <w:rPr>
          <w:rFonts w:hint="eastAsia" w:ascii="仿宋_GB2312" w:hAnsi="仿宋_GB2312" w:eastAsia="仿宋_GB2312" w:cs="仿宋_GB2312"/>
          <w:b w:val="0"/>
          <w:color w:val="auto"/>
          <w:sz w:val="32"/>
          <w:szCs w:val="32"/>
        </w:rPr>
        <w:t>（七）存在弄虚作假情形的；</w:t>
      </w:r>
    </w:p>
    <w:p w14:paraId="6C16946E">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b w:val="0"/>
          <w:color w:val="auto"/>
          <w:sz w:val="32"/>
          <w:szCs w:val="32"/>
        </w:rPr>
      </w:pPr>
      <w:r>
        <w:rPr>
          <w:rFonts w:hint="eastAsia" w:ascii="仿宋_GB2312" w:hAnsi="仿宋_GB2312" w:eastAsia="仿宋_GB2312" w:cs="仿宋_GB2312"/>
          <w:b w:val="0"/>
          <w:color w:val="auto"/>
          <w:sz w:val="32"/>
          <w:szCs w:val="32"/>
        </w:rPr>
        <w:t>（八）未按照在中评协报备的收费标准计算评估费用的；</w:t>
      </w:r>
    </w:p>
    <w:p w14:paraId="692BB0FF">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b/>
          <w:color w:val="auto"/>
          <w:sz w:val="32"/>
          <w:szCs w:val="32"/>
        </w:rPr>
      </w:pPr>
      <w:r>
        <w:rPr>
          <w:rFonts w:hint="eastAsia" w:ascii="仿宋_GB2312" w:hAnsi="仿宋_GB2312" w:eastAsia="仿宋_GB2312" w:cs="仿宋_GB2312"/>
          <w:b w:val="0"/>
          <w:color w:val="auto"/>
          <w:sz w:val="32"/>
          <w:szCs w:val="32"/>
        </w:rPr>
        <w:t>（九）已被财政部门注销备案的。</w:t>
      </w:r>
    </w:p>
    <w:p w14:paraId="29ACE156">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b w:val="0"/>
          <w:bCs/>
          <w:color w:val="auto"/>
          <w:sz w:val="32"/>
          <w:szCs w:val="32"/>
          <w:lang w:val="en-US" w:eastAsia="zh-CN"/>
        </w:rPr>
        <w:t>第十八条</w:t>
      </w:r>
      <w:r>
        <w:rPr>
          <w:rFonts w:hint="eastAsia" w:ascii="仿宋_GB2312" w:hAnsi="仿宋_GB2312" w:eastAsia="仿宋_GB2312" w:cs="仿宋_GB2312"/>
          <w:b/>
          <w:color w:val="auto"/>
          <w:sz w:val="32"/>
          <w:szCs w:val="32"/>
        </w:rPr>
        <w:t>　</w:t>
      </w:r>
      <w:r>
        <w:rPr>
          <w:rFonts w:hint="eastAsia" w:ascii="仿宋_GB2312" w:hAnsi="仿宋_GB2312" w:eastAsia="仿宋_GB2312" w:cs="仿宋_GB2312"/>
          <w:color w:val="auto"/>
          <w:sz w:val="32"/>
          <w:szCs w:val="32"/>
        </w:rPr>
        <w:t>退库按照下列程序</w:t>
      </w:r>
      <w:r>
        <w:rPr>
          <w:rFonts w:hint="eastAsia" w:cs="仿宋_GB2312"/>
          <w:color w:val="auto"/>
          <w:sz w:val="32"/>
          <w:szCs w:val="32"/>
          <w:lang w:val="en-US" w:eastAsia="zh-CN"/>
        </w:rPr>
        <w:t>办理</w:t>
      </w:r>
      <w:r>
        <w:rPr>
          <w:rFonts w:hint="eastAsia" w:ascii="仿宋_GB2312" w:hAnsi="仿宋_GB2312" w:eastAsia="仿宋_GB2312" w:cs="仿宋_GB2312"/>
          <w:color w:val="auto"/>
          <w:sz w:val="32"/>
          <w:szCs w:val="32"/>
        </w:rPr>
        <w:t>：</w:t>
      </w:r>
    </w:p>
    <w:p w14:paraId="1F466BCA">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（一）发现或获知机构存在退库情形的，</w:t>
      </w:r>
      <w:r>
        <w:rPr>
          <w:rFonts w:hint="eastAsia" w:cs="仿宋_GB2312"/>
          <w:b w:val="0"/>
          <w:color w:val="auto"/>
          <w:sz w:val="32"/>
          <w:szCs w:val="32"/>
          <w:lang w:val="en-US" w:eastAsia="zh-CN"/>
        </w:rPr>
        <w:t>省</w:t>
      </w:r>
      <w:r>
        <w:rPr>
          <w:rFonts w:hint="eastAsia" w:cs="仿宋_GB2312"/>
          <w:b w:val="0"/>
          <w:color w:val="auto"/>
          <w:sz w:val="32"/>
          <w:szCs w:val="32"/>
          <w:lang w:eastAsia="zh-CN"/>
        </w:rPr>
        <w:t>评协</w:t>
      </w:r>
      <w:r>
        <w:rPr>
          <w:rFonts w:hint="eastAsia" w:ascii="仿宋_GB2312" w:hAnsi="仿宋_GB2312" w:eastAsia="仿宋_GB2312" w:cs="仿宋_GB2312"/>
          <w:b w:val="0"/>
          <w:color w:val="auto"/>
          <w:sz w:val="32"/>
          <w:szCs w:val="32"/>
        </w:rPr>
        <w:t>应当及时核实情况；</w:t>
      </w:r>
    </w:p>
    <w:p w14:paraId="247FD7A9">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default" w:cs="仿宋_GB2312"/>
          <w:b w:val="0"/>
          <w:color w:val="auto"/>
          <w:sz w:val="32"/>
          <w:szCs w:val="32"/>
          <w:lang w:val="en-US" w:eastAsia="zh-CN"/>
        </w:rPr>
      </w:pPr>
      <w:r>
        <w:rPr>
          <w:rFonts w:hint="eastAsia" w:ascii="仿宋_GB2312" w:hAnsi="仿宋_GB2312" w:eastAsia="仿宋_GB2312" w:cs="仿宋_GB2312"/>
          <w:b w:val="0"/>
          <w:color w:val="auto"/>
          <w:sz w:val="32"/>
          <w:szCs w:val="32"/>
        </w:rPr>
        <w:t>（二）核实后，</w:t>
      </w:r>
      <w:r>
        <w:rPr>
          <w:rFonts w:hint="eastAsia" w:cs="仿宋_GB2312"/>
          <w:b w:val="0"/>
          <w:color w:val="auto"/>
          <w:sz w:val="32"/>
          <w:szCs w:val="32"/>
          <w:lang w:val="en-US" w:eastAsia="zh-CN"/>
        </w:rPr>
        <w:t>省评协按规定程序将《退库告知书》通知机构；</w:t>
      </w:r>
    </w:p>
    <w:p w14:paraId="2E6D4198">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（三）机构</w:t>
      </w:r>
      <w:r>
        <w:rPr>
          <w:rFonts w:hint="eastAsia" w:cs="仿宋_GB2312"/>
          <w:b w:val="0"/>
          <w:color w:val="auto"/>
          <w:sz w:val="32"/>
          <w:szCs w:val="32"/>
          <w:lang w:val="en-US" w:eastAsia="zh-CN"/>
        </w:rPr>
        <w:t>因符合第十七条规定退库情形的</w:t>
      </w:r>
      <w:r>
        <w:rPr>
          <w:rFonts w:hint="eastAsia" w:ascii="仿宋_GB2312" w:hAnsi="仿宋_GB2312" w:eastAsia="仿宋_GB2312" w:cs="仿宋_GB2312"/>
          <w:b w:val="0"/>
          <w:color w:val="auto"/>
          <w:sz w:val="32"/>
          <w:szCs w:val="32"/>
        </w:rPr>
        <w:t>，五年内不得再推荐入选</w:t>
      </w:r>
      <w:r>
        <w:rPr>
          <w:rFonts w:hint="eastAsia" w:cs="仿宋_GB2312"/>
          <w:b w:val="0"/>
          <w:color w:val="auto"/>
          <w:sz w:val="32"/>
          <w:szCs w:val="32"/>
          <w:lang w:val="en-US" w:eastAsia="zh-CN"/>
        </w:rPr>
        <w:t>名单</w:t>
      </w:r>
      <w:r>
        <w:rPr>
          <w:rFonts w:hint="eastAsia" w:ascii="仿宋_GB2312" w:hAnsi="仿宋_GB2312" w:eastAsia="仿宋_GB2312" w:cs="仿宋_GB2312"/>
          <w:b w:val="0"/>
          <w:color w:val="auto"/>
          <w:sz w:val="32"/>
          <w:szCs w:val="32"/>
        </w:rPr>
        <w:t>库。</w:t>
      </w:r>
    </w:p>
    <w:p w14:paraId="02F0D9A6">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b w:val="0"/>
          <w:bCs/>
          <w:color w:val="auto"/>
          <w:sz w:val="32"/>
          <w:szCs w:val="32"/>
          <w:lang w:val="en-US" w:eastAsia="zh-CN"/>
        </w:rPr>
        <w:t>第十九条</w:t>
      </w:r>
      <w:r>
        <w:rPr>
          <w:rFonts w:hint="eastAsia" w:ascii="仿宋_GB2312" w:hAnsi="仿宋_GB2312" w:eastAsia="仿宋_GB2312" w:cs="仿宋_GB2312"/>
          <w:b/>
          <w:color w:val="auto"/>
          <w:sz w:val="32"/>
          <w:szCs w:val="32"/>
        </w:rPr>
        <w:t>　</w:t>
      </w:r>
      <w:r>
        <w:rPr>
          <w:rFonts w:hint="eastAsia" w:cs="仿宋_GB2312"/>
          <w:b w:val="0"/>
          <w:color w:val="auto"/>
          <w:sz w:val="32"/>
          <w:szCs w:val="32"/>
          <w:lang w:val="en-US" w:eastAsia="zh-CN"/>
        </w:rPr>
        <w:t>省评协应当对信息变更申请材料、汇总上报材料等及时进行整理归档</w:t>
      </w:r>
      <w:r>
        <w:rPr>
          <w:rFonts w:hint="eastAsia" w:ascii="仿宋_GB2312" w:hAnsi="仿宋_GB2312" w:eastAsia="仿宋_GB2312" w:cs="仿宋_GB2312"/>
          <w:color w:val="auto"/>
          <w:sz w:val="32"/>
          <w:szCs w:val="32"/>
        </w:rPr>
        <w:t>。</w:t>
      </w:r>
    </w:p>
    <w:p w14:paraId="0A5E043A">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b w:val="0"/>
          <w:bCs/>
          <w:color w:val="auto"/>
          <w:sz w:val="32"/>
          <w:szCs w:val="32"/>
          <w:lang w:val="en-US" w:eastAsia="zh-CN"/>
        </w:rPr>
        <w:t xml:space="preserve">第二十条  </w:t>
      </w:r>
      <w:r>
        <w:rPr>
          <w:rFonts w:hint="eastAsia" w:ascii="仿宋_GB2312" w:hAnsi="仿宋_GB2312" w:eastAsia="仿宋_GB2312" w:cs="仿宋_GB2312"/>
          <w:color w:val="auto"/>
          <w:sz w:val="32"/>
          <w:szCs w:val="32"/>
        </w:rPr>
        <w:t>参与</w:t>
      </w:r>
      <w:r>
        <w:rPr>
          <w:rFonts w:hint="eastAsia" w:cs="仿宋_GB2312"/>
          <w:color w:val="auto"/>
          <w:sz w:val="32"/>
          <w:szCs w:val="32"/>
          <w:lang w:val="en-US" w:eastAsia="zh-CN"/>
        </w:rPr>
        <w:t>名单库</w:t>
      </w:r>
      <w:r>
        <w:rPr>
          <w:rFonts w:hint="eastAsia" w:ascii="仿宋_GB2312" w:hAnsi="仿宋_GB2312" w:eastAsia="仿宋_GB2312" w:cs="仿宋_GB2312"/>
          <w:color w:val="auto"/>
          <w:sz w:val="32"/>
          <w:szCs w:val="32"/>
        </w:rPr>
        <w:t>信息变更工作的人员应当严格遵守保密规定，不得泄露机构的商业秘密和个人信息，不得将变更材料用于与工作无关的用途。</w:t>
      </w:r>
    </w:p>
    <w:p w14:paraId="50CF4DF6">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b w:val="0"/>
          <w:bCs/>
          <w:color w:val="auto"/>
          <w:sz w:val="32"/>
          <w:szCs w:val="32"/>
          <w:lang w:val="en-US" w:eastAsia="zh-CN"/>
        </w:rPr>
        <w:t>第二十一条</w:t>
      </w:r>
      <w:r>
        <w:rPr>
          <w:rFonts w:hint="eastAsia" w:ascii="仿宋_GB2312" w:hAnsi="仿宋_GB2312" w:eastAsia="仿宋_GB2312" w:cs="仿宋_GB2312"/>
          <w:b/>
          <w:color w:val="auto"/>
          <w:sz w:val="32"/>
          <w:szCs w:val="32"/>
        </w:rPr>
        <w:t>　</w:t>
      </w:r>
      <w:r>
        <w:rPr>
          <w:rFonts w:hint="eastAsia" w:ascii="仿宋_GB2312" w:hAnsi="仿宋_GB2312" w:eastAsia="仿宋_GB2312" w:cs="仿宋_GB2312"/>
          <w:color w:val="auto"/>
          <w:sz w:val="32"/>
          <w:szCs w:val="32"/>
        </w:rPr>
        <w:t>本</w:t>
      </w:r>
      <w:r>
        <w:rPr>
          <w:rFonts w:hint="eastAsia" w:cs="仿宋_GB2312"/>
          <w:color w:val="auto"/>
          <w:sz w:val="32"/>
          <w:szCs w:val="32"/>
          <w:lang w:val="en-US" w:eastAsia="zh-CN"/>
        </w:rPr>
        <w:t>暂行</w:t>
      </w:r>
      <w:r>
        <w:rPr>
          <w:rFonts w:hint="eastAsia" w:ascii="仿宋_GB2312" w:hAnsi="仿宋_GB2312" w:eastAsia="仿宋_GB2312" w:cs="仿宋_GB2312"/>
          <w:color w:val="auto"/>
          <w:sz w:val="32"/>
          <w:szCs w:val="32"/>
        </w:rPr>
        <w:t>办法由山东省资产评估协会负责解释。自发布之日起施行。</w:t>
      </w:r>
    </w:p>
    <w:p w14:paraId="18536213">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p>
    <w:p w14:paraId="7559FBED">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color w:val="auto"/>
          <w:sz w:val="32"/>
          <w:szCs w:val="32"/>
        </w:rPr>
      </w:pPr>
      <w:r>
        <w:rPr>
          <w:rFonts w:hint="eastAsia" w:cs="仿宋_GB2312"/>
          <w:color w:val="auto"/>
          <w:sz w:val="32"/>
          <w:szCs w:val="32"/>
          <w:lang w:val="en-US" w:eastAsia="zh-CN"/>
        </w:rPr>
        <w:t>附：</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机构信息变更表</w:t>
      </w:r>
    </w:p>
    <w:p w14:paraId="2073F5DB">
      <w:pPr>
        <w:pageBreakBefore w:val="0"/>
        <w:widowControl/>
        <w:numPr>
          <w:ilvl w:val="0"/>
          <w:numId w:val="0"/>
        </w:numPr>
        <w:kinsoku/>
        <w:wordWrap/>
        <w:overflowPunct/>
        <w:topLinePunct w:val="0"/>
        <w:autoSpaceDE/>
        <w:autoSpaceDN/>
        <w:bidi w:val="0"/>
        <w:adjustRightInd/>
        <w:snapToGrid/>
        <w:spacing w:after="0" w:line="580" w:lineRule="exact"/>
        <w:ind w:firstLine="1280" w:firstLineChars="400"/>
        <w:textAlignment w:val="auto"/>
        <w:rPr>
          <w:rFonts w:hint="eastAsia" w:cs="仿宋_GB2312"/>
          <w:b w:val="0"/>
          <w:color w:val="auto"/>
          <w:sz w:val="32"/>
          <w:szCs w:val="32"/>
          <w:lang w:val="en-US" w:eastAsia="zh-CN"/>
        </w:rPr>
      </w:pPr>
      <w:r>
        <w:rPr>
          <w:rFonts w:hint="eastAsia" w:ascii="仿宋_GB2312" w:hAnsi="仿宋_GB2312" w:eastAsia="仿宋_GB2312" w:cs="仿宋_GB2312"/>
          <w:b w:val="0"/>
          <w:color w:val="auto"/>
          <w:sz w:val="32"/>
          <w:szCs w:val="32"/>
          <w:lang w:val="en-US" w:eastAsia="zh-CN" w:bidi="ar-SA"/>
        </w:rPr>
        <w:t>2.</w:t>
      </w:r>
      <w:r>
        <w:rPr>
          <w:rFonts w:hint="eastAsia" w:cs="仿宋_GB2312"/>
          <w:b w:val="0"/>
          <w:color w:val="auto"/>
          <w:sz w:val="32"/>
          <w:szCs w:val="32"/>
          <w:lang w:val="en-US" w:eastAsia="zh-CN"/>
        </w:rPr>
        <w:t>资产评估师信息统计表</w:t>
      </w:r>
    </w:p>
    <w:p w14:paraId="1C4DD297">
      <w:pPr>
        <w:pageBreakBefore w:val="0"/>
        <w:widowControl/>
        <w:numPr>
          <w:ilvl w:val="0"/>
          <w:numId w:val="0"/>
        </w:numPr>
        <w:kinsoku/>
        <w:wordWrap/>
        <w:overflowPunct/>
        <w:topLinePunct w:val="0"/>
        <w:autoSpaceDE/>
        <w:autoSpaceDN/>
        <w:bidi w:val="0"/>
        <w:adjustRightInd/>
        <w:snapToGrid/>
        <w:spacing w:after="0" w:line="580" w:lineRule="exact"/>
        <w:ind w:firstLine="1280" w:firstLineChars="400"/>
        <w:textAlignment w:val="auto"/>
        <w:rPr>
          <w:rFonts w:hint="eastAsia" w:cs="仿宋_GB2312"/>
          <w:b w:val="0"/>
          <w:color w:val="auto"/>
          <w:sz w:val="32"/>
          <w:szCs w:val="32"/>
          <w:lang w:val="en-US" w:eastAsia="zh-CN"/>
        </w:rPr>
      </w:pPr>
      <w:r>
        <w:rPr>
          <w:rFonts w:hint="eastAsia" w:ascii="仿宋_GB2312" w:hAnsi="仿宋_GB2312" w:eastAsia="仿宋_GB2312" w:cs="仿宋_GB2312"/>
          <w:b w:val="0"/>
          <w:color w:val="auto"/>
          <w:sz w:val="32"/>
          <w:szCs w:val="32"/>
          <w:lang w:val="en-US" w:eastAsia="zh-CN" w:bidi="ar-SA"/>
        </w:rPr>
        <w:t>3.</w:t>
      </w:r>
      <w:r>
        <w:rPr>
          <w:rFonts w:hint="eastAsia" w:cs="仿宋_GB2312"/>
          <w:b w:val="0"/>
          <w:color w:val="auto"/>
          <w:sz w:val="32"/>
          <w:szCs w:val="32"/>
          <w:lang w:val="en-US" w:eastAsia="zh-CN"/>
        </w:rPr>
        <w:t>退库告知书</w:t>
      </w:r>
    </w:p>
    <w:p w14:paraId="096A6D3E">
      <w:pPr>
        <w:pageBreakBefore w:val="0"/>
        <w:widowControl/>
        <w:kinsoku/>
        <w:wordWrap/>
        <w:overflowPunct/>
        <w:topLinePunct w:val="0"/>
        <w:autoSpaceDE/>
        <w:autoSpaceDN/>
        <w:bidi w:val="0"/>
        <w:adjustRightInd/>
        <w:snapToGrid/>
        <w:spacing w:after="0" w:line="580" w:lineRule="exact"/>
        <w:textAlignment w:val="auto"/>
        <w:rPr>
          <w:rFonts w:hint="eastAsia" w:cs="仿宋_GB2312"/>
          <w:b w:val="0"/>
          <w:color w:val="auto"/>
          <w:sz w:val="32"/>
          <w:szCs w:val="32"/>
          <w:lang w:val="en-US" w:eastAsia="zh-CN"/>
        </w:rPr>
      </w:pPr>
    </w:p>
    <w:p w14:paraId="23B31F37">
      <w:pPr>
        <w:pageBreakBefore w:val="0"/>
        <w:widowControl/>
        <w:kinsoku/>
        <w:wordWrap/>
        <w:overflowPunct/>
        <w:topLinePunct w:val="0"/>
        <w:autoSpaceDE/>
        <w:autoSpaceDN/>
        <w:bidi w:val="0"/>
        <w:adjustRightInd/>
        <w:snapToGrid/>
        <w:spacing w:after="0" w:line="580" w:lineRule="exact"/>
        <w:ind w:firstLine="1600" w:firstLineChars="500"/>
        <w:jc w:val="right"/>
        <w:textAlignment w:val="auto"/>
        <w:rPr>
          <w:rFonts w:hint="eastAsia" w:ascii="仿宋_GB2312" w:hAnsi="仿宋_GB2312" w:eastAsia="仿宋_GB2312" w:cs="仿宋_GB2312"/>
          <w:color w:val="auto"/>
          <w:sz w:val="32"/>
          <w:szCs w:val="32"/>
        </w:rPr>
      </w:pPr>
    </w:p>
    <w:p w14:paraId="495E95E9">
      <w:pPr>
        <w:pageBreakBefore w:val="0"/>
        <w:widowControl/>
        <w:kinsoku/>
        <w:wordWrap/>
        <w:overflowPunct/>
        <w:topLinePunct w:val="0"/>
        <w:autoSpaceDE/>
        <w:autoSpaceDN/>
        <w:bidi w:val="0"/>
        <w:adjustRightInd/>
        <w:snapToGrid/>
        <w:spacing w:after="0" w:line="580" w:lineRule="exact"/>
        <w:ind w:firstLine="1600" w:firstLineChars="500"/>
        <w:jc w:val="center"/>
        <w:textAlignment w:val="auto"/>
        <w:rPr>
          <w:rFonts w:hint="eastAsia" w:ascii="仿宋_GB2312" w:hAnsi="仿宋_GB2312" w:eastAsia="仿宋_GB2312" w:cs="仿宋_GB2312"/>
          <w:color w:val="auto"/>
          <w:sz w:val="32"/>
          <w:szCs w:val="32"/>
        </w:rPr>
      </w:pPr>
      <w:r>
        <w:rPr>
          <w:rFonts w:hint="eastAsia" w:cs="仿宋_GB2312"/>
          <w:color w:val="auto"/>
          <w:sz w:val="32"/>
          <w:szCs w:val="32"/>
          <w:lang w:val="en-US" w:eastAsia="zh-CN"/>
        </w:rPr>
        <w:t xml:space="preserve">                             </w:t>
      </w:r>
    </w:p>
    <w:p w14:paraId="304DF402">
      <w:pPr>
        <w:pageBreakBefore w:val="0"/>
        <w:widowControl/>
        <w:kinsoku/>
        <w:wordWrap/>
        <w:overflowPunct/>
        <w:topLinePunct w:val="0"/>
        <w:autoSpaceDE/>
        <w:autoSpaceDN/>
        <w:bidi w:val="0"/>
        <w:adjustRightInd/>
        <w:snapToGrid/>
        <w:spacing w:line="580" w:lineRule="exact"/>
        <w:ind w:firstLine="6720" w:firstLineChars="2100"/>
        <w:textAlignment w:val="auto"/>
        <w:rPr>
          <w:rFonts w:hint="eastAsia" w:ascii="仿宋_GB2312" w:hAnsi="仿宋_GB2312" w:eastAsia="仿宋_GB2312" w:cs="仿宋_GB2312"/>
          <w:color w:val="auto"/>
          <w:sz w:val="32"/>
          <w:szCs w:val="32"/>
        </w:rPr>
        <w:sectPr>
          <w:footerReference r:id="rId5" w:type="default"/>
          <w:pgSz w:w="11906" w:h="16838"/>
          <w:pgMar w:top="1757" w:right="1417" w:bottom="1757" w:left="1417" w:header="851" w:footer="1417" w:gutter="0"/>
          <w:cols w:space="0" w:num="1"/>
          <w:rtlGutter w:val="0"/>
          <w:docGrid w:linePitch="312" w:charSpace="0"/>
        </w:sectPr>
      </w:pPr>
    </w:p>
    <w:p w14:paraId="4AD699E3">
      <w:pPr>
        <w:pStyle w:val="9"/>
        <w:pageBreakBefore w:val="0"/>
        <w:kinsoku/>
        <w:wordWrap w:val="0"/>
        <w:topLinePunct w:val="0"/>
        <w:autoSpaceDE/>
        <w:autoSpaceDN/>
        <w:bidi w:val="0"/>
        <w:spacing w:line="580" w:lineRule="exact"/>
        <w:ind w:firstLine="0" w:firstLineChars="0"/>
        <w:rPr>
          <w:rFonts w:hint="eastAsia" w:ascii="仿宋_GB2312"/>
          <w:color w:val="auto"/>
          <w:szCs w:val="32"/>
          <w:lang w:val="en-US" w:eastAsia="zh-CN"/>
        </w:rPr>
      </w:pPr>
      <w:r>
        <w:rPr>
          <w:rFonts w:hint="eastAsia" w:ascii="仿宋_GB2312"/>
          <w:color w:val="auto"/>
          <w:szCs w:val="32"/>
          <w:lang w:val="en-US" w:eastAsia="zh-CN"/>
        </w:rPr>
        <w:t>附1</w:t>
      </w:r>
    </w:p>
    <w:p w14:paraId="1B6382F5">
      <w:pPr>
        <w:pStyle w:val="9"/>
        <w:pageBreakBefore w:val="0"/>
        <w:kinsoku/>
        <w:wordWrap w:val="0"/>
        <w:topLinePunct w:val="0"/>
        <w:autoSpaceDE/>
        <w:autoSpaceDN/>
        <w:bidi w:val="0"/>
        <w:spacing w:line="580" w:lineRule="exact"/>
        <w:ind w:firstLine="0" w:firstLineChars="0"/>
        <w:jc w:val="center"/>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机构信息变更表</w:t>
      </w:r>
    </w:p>
    <w:p w14:paraId="75CEFBEE">
      <w:pPr>
        <w:pStyle w:val="9"/>
        <w:pageBreakBefore w:val="0"/>
        <w:kinsoku/>
        <w:wordWrap w:val="0"/>
        <w:topLinePunct w:val="0"/>
        <w:autoSpaceDE/>
        <w:autoSpaceDN/>
        <w:bidi w:val="0"/>
        <w:spacing w:line="580" w:lineRule="exact"/>
        <w:ind w:firstLine="0" w:firstLineChars="0"/>
        <w:jc w:val="center"/>
        <w:rPr>
          <w:rFonts w:hint="eastAsia" w:ascii="仿宋_GB2312" w:hAnsi="仿宋_GB2312" w:eastAsia="仿宋_GB2312" w:cs="仿宋_GB2312"/>
          <w:color w:val="auto"/>
          <w:szCs w:val="32"/>
        </w:rPr>
      </w:pPr>
    </w:p>
    <w:tbl>
      <w:tblPr>
        <w:tblStyle w:val="7"/>
        <w:tblW w:w="4997" w:type="pct"/>
        <w:jc w:val="center"/>
        <w:tblLayout w:type="autofit"/>
        <w:tblCellMar>
          <w:top w:w="0" w:type="dxa"/>
          <w:left w:w="108" w:type="dxa"/>
          <w:bottom w:w="0" w:type="dxa"/>
          <w:right w:w="108" w:type="dxa"/>
        </w:tblCellMar>
      </w:tblPr>
      <w:tblGrid>
        <w:gridCol w:w="642"/>
        <w:gridCol w:w="1239"/>
        <w:gridCol w:w="2115"/>
        <w:gridCol w:w="1896"/>
        <w:gridCol w:w="1059"/>
        <w:gridCol w:w="642"/>
        <w:gridCol w:w="851"/>
        <w:gridCol w:w="642"/>
        <w:gridCol w:w="1059"/>
        <w:gridCol w:w="1059"/>
        <w:gridCol w:w="1059"/>
        <w:gridCol w:w="1269"/>
      </w:tblGrid>
      <w:tr w14:paraId="23A78C88">
        <w:tblPrEx>
          <w:tblCellMar>
            <w:top w:w="0" w:type="dxa"/>
            <w:left w:w="108" w:type="dxa"/>
            <w:bottom w:w="0" w:type="dxa"/>
            <w:right w:w="108" w:type="dxa"/>
          </w:tblCellMar>
        </w:tblPrEx>
        <w:trPr>
          <w:trHeight w:val="828" w:hRule="exact"/>
          <w:jc w:val="center"/>
        </w:trPr>
        <w:tc>
          <w:tcPr>
            <w:tcW w:w="6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EA28DB">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r>
              <w:rPr>
                <w:rFonts w:hint="eastAsia" w:ascii="宋体" w:hAnsi="宋体" w:eastAsia="宋体" w:cs="宋体"/>
                <w:color w:val="000000"/>
                <w:kern w:val="2"/>
                <w:sz w:val="21"/>
                <w:szCs w:val="21"/>
                <w:lang w:eastAsia="zh-CN"/>
              </w:rPr>
              <w:t>序号</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0566B0">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r>
              <w:rPr>
                <w:rFonts w:hint="eastAsia" w:ascii="宋体" w:hAnsi="宋体" w:eastAsia="宋体" w:cs="宋体"/>
                <w:color w:val="000000"/>
                <w:kern w:val="2"/>
                <w:sz w:val="21"/>
                <w:szCs w:val="21"/>
                <w:lang w:eastAsia="zh-CN"/>
              </w:rPr>
              <w:t>机构全称</w:t>
            </w:r>
          </w:p>
          <w:p w14:paraId="0C1AEA85">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r>
              <w:rPr>
                <w:rFonts w:hint="eastAsia" w:ascii="宋体" w:hAnsi="宋体" w:eastAsia="宋体" w:cs="宋体"/>
                <w:color w:val="000000"/>
                <w:kern w:val="2"/>
                <w:sz w:val="21"/>
                <w:szCs w:val="21"/>
                <w:lang w:eastAsia="zh-CN"/>
              </w:rPr>
              <w:t>（必填）</w:t>
            </w:r>
          </w:p>
        </w:tc>
        <w:tc>
          <w:tcPr>
            <w:tcW w:w="21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C1945C">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r>
              <w:rPr>
                <w:rFonts w:hint="eastAsia" w:ascii="宋体" w:hAnsi="宋体" w:eastAsia="宋体" w:cs="宋体"/>
                <w:color w:val="000000"/>
                <w:kern w:val="2"/>
                <w:sz w:val="21"/>
                <w:szCs w:val="21"/>
                <w:lang w:eastAsia="zh-CN"/>
              </w:rPr>
              <w:t>变更后的新机构名称</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F79063">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r>
              <w:rPr>
                <w:rFonts w:hint="eastAsia" w:ascii="宋体" w:hAnsi="宋体" w:eastAsia="宋体" w:cs="宋体"/>
                <w:color w:val="000000"/>
                <w:kern w:val="2"/>
                <w:sz w:val="21"/>
                <w:szCs w:val="21"/>
                <w:lang w:eastAsia="zh-CN"/>
              </w:rPr>
              <w:t>统一社会信用代码</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696EA1">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r>
              <w:rPr>
                <w:rFonts w:hint="eastAsia" w:ascii="宋体" w:hAnsi="宋体" w:eastAsia="宋体" w:cs="宋体"/>
                <w:color w:val="000000"/>
                <w:kern w:val="2"/>
                <w:sz w:val="21"/>
                <w:szCs w:val="21"/>
                <w:lang w:eastAsia="zh-CN"/>
              </w:rPr>
              <w:t>注册地址</w:t>
            </w: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721BF2">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r>
              <w:rPr>
                <w:rFonts w:hint="eastAsia" w:ascii="宋体" w:hAnsi="宋体" w:eastAsia="宋体" w:cs="宋体"/>
                <w:color w:val="000000"/>
                <w:kern w:val="2"/>
                <w:sz w:val="21"/>
                <w:szCs w:val="21"/>
                <w:lang w:eastAsia="zh-CN"/>
              </w:rPr>
              <w:t>法人</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134A57">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r>
              <w:rPr>
                <w:rFonts w:hint="eastAsia" w:ascii="宋体" w:hAnsi="宋体" w:eastAsia="宋体" w:cs="宋体"/>
                <w:color w:val="000000"/>
                <w:kern w:val="2"/>
                <w:sz w:val="21"/>
                <w:szCs w:val="21"/>
                <w:lang w:eastAsia="zh-CN"/>
              </w:rPr>
              <w:t>联系人</w:t>
            </w: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616874">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r>
              <w:rPr>
                <w:rFonts w:hint="eastAsia" w:ascii="宋体" w:hAnsi="宋体" w:eastAsia="宋体" w:cs="宋体"/>
                <w:color w:val="000000"/>
                <w:kern w:val="2"/>
                <w:sz w:val="21"/>
                <w:szCs w:val="21"/>
                <w:lang w:eastAsia="zh-CN"/>
              </w:rPr>
              <w:t>手机</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94E920">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r>
              <w:rPr>
                <w:rFonts w:hint="eastAsia" w:ascii="宋体" w:hAnsi="宋体" w:eastAsia="宋体" w:cs="宋体"/>
                <w:color w:val="000000"/>
                <w:kern w:val="2"/>
                <w:sz w:val="21"/>
                <w:szCs w:val="21"/>
                <w:lang w:eastAsia="zh-CN"/>
              </w:rPr>
              <w:t>电子邮箱</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ECC631">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r>
              <w:rPr>
                <w:rFonts w:hint="eastAsia" w:ascii="宋体" w:hAnsi="宋体" w:eastAsia="宋体" w:cs="宋体"/>
                <w:color w:val="000000"/>
                <w:kern w:val="2"/>
                <w:sz w:val="21"/>
                <w:szCs w:val="21"/>
                <w:lang w:eastAsia="zh-CN"/>
              </w:rPr>
              <w:t>通讯地址</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5BE0AC">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r>
              <w:rPr>
                <w:rFonts w:hint="eastAsia" w:ascii="宋体" w:hAnsi="宋体" w:eastAsia="宋体" w:cs="宋体"/>
                <w:color w:val="000000"/>
                <w:kern w:val="2"/>
                <w:sz w:val="21"/>
                <w:szCs w:val="21"/>
                <w:lang w:eastAsia="zh-CN"/>
              </w:rPr>
              <w:t>邮政编码</w:t>
            </w: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1CADFF">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r>
              <w:rPr>
                <w:rFonts w:hint="eastAsia" w:ascii="宋体" w:hAnsi="宋体" w:eastAsia="宋体" w:cs="宋体"/>
                <w:color w:val="000000"/>
                <w:kern w:val="2"/>
                <w:sz w:val="21"/>
                <w:szCs w:val="21"/>
                <w:lang w:eastAsia="zh-CN"/>
              </w:rPr>
              <w:t>评估师人数</w:t>
            </w:r>
          </w:p>
        </w:tc>
      </w:tr>
      <w:tr w14:paraId="5DE81679">
        <w:tblPrEx>
          <w:tblCellMar>
            <w:top w:w="0" w:type="dxa"/>
            <w:left w:w="108" w:type="dxa"/>
            <w:bottom w:w="0" w:type="dxa"/>
            <w:right w:w="108" w:type="dxa"/>
          </w:tblCellMar>
        </w:tblPrEx>
        <w:trPr>
          <w:trHeight w:val="3889" w:hRule="atLeast"/>
          <w:jc w:val="center"/>
        </w:trPr>
        <w:tc>
          <w:tcPr>
            <w:tcW w:w="6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41330">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r>
              <w:rPr>
                <w:rFonts w:hint="eastAsia" w:ascii="宋体" w:hAnsi="宋体" w:eastAsia="宋体" w:cs="宋体"/>
                <w:color w:val="000000"/>
                <w:kern w:val="2"/>
                <w:sz w:val="21"/>
                <w:szCs w:val="21"/>
                <w:lang w:eastAsia="zh-CN"/>
              </w:rPr>
              <w:t>1</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245629">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c>
          <w:tcPr>
            <w:tcW w:w="21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14D32A">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8B44E4">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008466">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3FBFC">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CE34F8">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83C754">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2A9426">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D351A2">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83E6B">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c>
          <w:tcPr>
            <w:tcW w:w="12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40204F">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r>
    </w:tbl>
    <w:p w14:paraId="7740D45C">
      <w:pPr>
        <w:pStyle w:val="9"/>
        <w:pageBreakBefore w:val="0"/>
        <w:kinsoku/>
        <w:wordWrap w:val="0"/>
        <w:topLinePunct w:val="0"/>
        <w:autoSpaceDE/>
        <w:autoSpaceDN/>
        <w:bidi w:val="0"/>
        <w:spacing w:line="580" w:lineRule="exact"/>
        <w:ind w:left="960" w:hanging="960" w:hangingChars="300"/>
        <w:rPr>
          <w:rFonts w:hint="eastAsia" w:ascii="仿宋_GB2312"/>
          <w:color w:val="auto"/>
          <w:szCs w:val="32"/>
        </w:rPr>
      </w:pPr>
      <w:r>
        <w:rPr>
          <w:rFonts w:hint="eastAsia" w:ascii="仿宋_GB2312"/>
          <w:color w:val="auto"/>
          <w:szCs w:val="32"/>
        </w:rPr>
        <w:t>备注：机构全称为必填项，除外的信息项，有变更的内容请如实填写</w:t>
      </w:r>
      <w:r>
        <w:rPr>
          <w:rFonts w:hint="eastAsia" w:ascii="仿宋_GB2312"/>
          <w:color w:val="auto"/>
          <w:szCs w:val="32"/>
          <w:lang w:val="en-US" w:eastAsia="zh-CN"/>
        </w:rPr>
        <w:t>变更后的信息</w:t>
      </w:r>
      <w:r>
        <w:rPr>
          <w:rFonts w:hint="eastAsia" w:ascii="仿宋_GB2312"/>
          <w:color w:val="auto"/>
          <w:szCs w:val="32"/>
        </w:rPr>
        <w:t>，无变更的内容请注“</w:t>
      </w:r>
      <w:r>
        <w:rPr>
          <w:rFonts w:hint="eastAsia" w:ascii="仿宋_GB2312"/>
          <w:color w:val="auto"/>
          <w:szCs w:val="32"/>
          <w:lang w:val="en-US" w:eastAsia="zh-CN"/>
        </w:rPr>
        <w:t>/</w:t>
      </w:r>
      <w:r>
        <w:rPr>
          <w:rFonts w:hint="eastAsia" w:ascii="仿宋_GB2312"/>
          <w:color w:val="auto"/>
          <w:szCs w:val="32"/>
        </w:rPr>
        <w:t>”。</w:t>
      </w:r>
    </w:p>
    <w:p w14:paraId="4AD161E0">
      <w:pPr>
        <w:pStyle w:val="9"/>
        <w:pageBreakBefore w:val="0"/>
        <w:kinsoku/>
        <w:wordWrap w:val="0"/>
        <w:topLinePunct w:val="0"/>
        <w:autoSpaceDE/>
        <w:autoSpaceDN/>
        <w:bidi w:val="0"/>
        <w:spacing w:line="580" w:lineRule="exact"/>
        <w:ind w:firstLine="0" w:firstLineChars="0"/>
        <w:rPr>
          <w:rFonts w:hint="eastAsia" w:ascii="仿宋_GB2312"/>
          <w:color w:val="auto"/>
          <w:szCs w:val="32"/>
          <w:lang w:val="en-US" w:eastAsia="zh-CN"/>
        </w:rPr>
      </w:pPr>
      <w:r>
        <w:rPr>
          <w:rFonts w:hint="eastAsia" w:ascii="仿宋_GB2312"/>
          <w:color w:val="auto"/>
          <w:szCs w:val="32"/>
        </w:rPr>
        <w:t xml:space="preserve">     </w:t>
      </w:r>
    </w:p>
    <w:p w14:paraId="0B6A0C52">
      <w:pPr>
        <w:pStyle w:val="9"/>
        <w:pageBreakBefore w:val="0"/>
        <w:kinsoku/>
        <w:wordWrap w:val="0"/>
        <w:topLinePunct w:val="0"/>
        <w:autoSpaceDE/>
        <w:autoSpaceDN/>
        <w:bidi w:val="0"/>
        <w:spacing w:line="580" w:lineRule="exact"/>
        <w:ind w:firstLine="0" w:firstLineChars="0"/>
        <w:rPr>
          <w:rFonts w:hint="eastAsia" w:ascii="仿宋_GB2312"/>
          <w:color w:val="auto"/>
          <w:szCs w:val="32"/>
          <w:lang w:val="en-US" w:eastAsia="zh-CN"/>
        </w:rPr>
      </w:pPr>
      <w:r>
        <w:rPr>
          <w:rFonts w:hint="eastAsia" w:ascii="仿宋_GB2312"/>
          <w:color w:val="auto"/>
          <w:szCs w:val="32"/>
          <w:lang w:val="en-US" w:eastAsia="zh-CN"/>
        </w:rPr>
        <w:t>附2</w:t>
      </w:r>
    </w:p>
    <w:tbl>
      <w:tblPr>
        <w:tblStyle w:val="7"/>
        <w:tblpPr w:leftFromText="180" w:rightFromText="180" w:vertAnchor="page" w:horzAnchor="page" w:tblpXSpec="center" w:tblpY="3258"/>
        <w:tblW w:w="4888" w:type="pct"/>
        <w:jc w:val="center"/>
        <w:tblLayout w:type="autofit"/>
        <w:tblCellMar>
          <w:top w:w="0" w:type="dxa"/>
          <w:left w:w="108" w:type="dxa"/>
          <w:bottom w:w="0" w:type="dxa"/>
          <w:right w:w="108" w:type="dxa"/>
        </w:tblCellMar>
      </w:tblPr>
      <w:tblGrid>
        <w:gridCol w:w="1049"/>
        <w:gridCol w:w="1626"/>
        <w:gridCol w:w="1626"/>
        <w:gridCol w:w="3115"/>
        <w:gridCol w:w="2435"/>
        <w:gridCol w:w="3386"/>
      </w:tblGrid>
      <w:tr w14:paraId="3DCC86E7">
        <w:tblPrEx>
          <w:tblCellMar>
            <w:top w:w="0" w:type="dxa"/>
            <w:left w:w="108" w:type="dxa"/>
            <w:bottom w:w="0" w:type="dxa"/>
            <w:right w:w="108" w:type="dxa"/>
          </w:tblCellMar>
        </w:tblPrEx>
        <w:trPr>
          <w:trHeight w:val="702" w:hRule="atLeast"/>
          <w:jc w:val="center"/>
        </w:trPr>
        <w:tc>
          <w:tcPr>
            <w:tcW w:w="396" w:type="pct"/>
            <w:tcBorders>
              <w:top w:val="single" w:color="000000" w:sz="4" w:space="0"/>
              <w:left w:val="single" w:color="000000" w:sz="4" w:space="0"/>
              <w:bottom w:val="single" w:color="000000" w:sz="4" w:space="0"/>
              <w:right w:val="single" w:color="000000" w:sz="4" w:space="0"/>
            </w:tcBorders>
            <w:noWrap w:val="0"/>
            <w:vAlign w:val="center"/>
          </w:tcPr>
          <w:p w14:paraId="44235B8D">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r>
              <w:rPr>
                <w:rFonts w:hint="eastAsia" w:ascii="宋体" w:hAnsi="宋体" w:eastAsia="宋体" w:cs="宋体"/>
                <w:color w:val="000000"/>
                <w:kern w:val="2"/>
                <w:sz w:val="21"/>
                <w:szCs w:val="21"/>
                <w:lang w:eastAsia="zh-CN"/>
              </w:rPr>
              <w:t>序号</w:t>
            </w:r>
          </w:p>
        </w:tc>
        <w:tc>
          <w:tcPr>
            <w:tcW w:w="614" w:type="pct"/>
            <w:tcBorders>
              <w:top w:val="single" w:color="000000" w:sz="4" w:space="0"/>
              <w:left w:val="single" w:color="000000" w:sz="4" w:space="0"/>
              <w:bottom w:val="single" w:color="000000" w:sz="4" w:space="0"/>
              <w:right w:val="single" w:color="000000" w:sz="4" w:space="0"/>
            </w:tcBorders>
            <w:noWrap w:val="0"/>
            <w:vAlign w:val="center"/>
          </w:tcPr>
          <w:p w14:paraId="426B885E">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r>
              <w:rPr>
                <w:rFonts w:hint="eastAsia" w:ascii="宋体" w:hAnsi="宋体" w:eastAsia="宋体" w:cs="宋体"/>
                <w:color w:val="000000"/>
                <w:kern w:val="2"/>
                <w:sz w:val="21"/>
                <w:szCs w:val="21"/>
                <w:lang w:eastAsia="zh-CN"/>
              </w:rPr>
              <w:t>评估师姓名</w:t>
            </w:r>
          </w:p>
        </w:tc>
        <w:tc>
          <w:tcPr>
            <w:tcW w:w="614" w:type="pct"/>
            <w:tcBorders>
              <w:top w:val="single" w:color="000000" w:sz="4" w:space="0"/>
              <w:left w:val="single" w:color="000000" w:sz="4" w:space="0"/>
              <w:bottom w:val="single" w:color="000000" w:sz="4" w:space="0"/>
              <w:right w:val="single" w:color="000000" w:sz="4" w:space="0"/>
            </w:tcBorders>
            <w:noWrap w:val="0"/>
            <w:vAlign w:val="center"/>
          </w:tcPr>
          <w:p w14:paraId="3BCD3A72">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r>
              <w:rPr>
                <w:rFonts w:hint="eastAsia" w:ascii="宋体" w:hAnsi="宋体" w:eastAsia="宋体" w:cs="宋体"/>
                <w:color w:val="000000"/>
                <w:kern w:val="2"/>
                <w:sz w:val="21"/>
                <w:szCs w:val="21"/>
                <w:lang w:eastAsia="zh-CN"/>
              </w:rPr>
              <w:t>会员编号</w:t>
            </w:r>
          </w:p>
        </w:tc>
        <w:tc>
          <w:tcPr>
            <w:tcW w:w="1176" w:type="pct"/>
            <w:tcBorders>
              <w:top w:val="single" w:color="000000" w:sz="4" w:space="0"/>
              <w:left w:val="single" w:color="000000" w:sz="4" w:space="0"/>
              <w:bottom w:val="single" w:color="000000" w:sz="4" w:space="0"/>
              <w:right w:val="single" w:color="000000" w:sz="4" w:space="0"/>
            </w:tcBorders>
            <w:noWrap w:val="0"/>
            <w:vAlign w:val="center"/>
          </w:tcPr>
          <w:p w14:paraId="5BC41E9F">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r>
              <w:rPr>
                <w:rFonts w:hint="eastAsia" w:ascii="宋体" w:hAnsi="宋体" w:eastAsia="宋体" w:cs="宋体"/>
                <w:color w:val="000000"/>
                <w:kern w:val="2"/>
                <w:sz w:val="21"/>
                <w:szCs w:val="21"/>
                <w:lang w:eastAsia="zh-CN"/>
              </w:rPr>
              <w:t>所属评估机构全称</w:t>
            </w:r>
          </w:p>
        </w:tc>
        <w:tc>
          <w:tcPr>
            <w:tcW w:w="919" w:type="pct"/>
            <w:tcBorders>
              <w:top w:val="single" w:color="000000" w:sz="4" w:space="0"/>
              <w:left w:val="single" w:color="000000" w:sz="4" w:space="0"/>
              <w:bottom w:val="single" w:color="000000" w:sz="4" w:space="0"/>
              <w:right w:val="single" w:color="000000" w:sz="4" w:space="0"/>
            </w:tcBorders>
            <w:noWrap w:val="0"/>
            <w:vAlign w:val="center"/>
          </w:tcPr>
          <w:p w14:paraId="456633FC">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r>
              <w:rPr>
                <w:rFonts w:hint="eastAsia" w:ascii="宋体" w:hAnsi="宋体" w:eastAsia="宋体" w:cs="宋体"/>
                <w:color w:val="000000"/>
                <w:kern w:val="2"/>
                <w:sz w:val="21"/>
                <w:szCs w:val="21"/>
                <w:lang w:eastAsia="zh-CN"/>
              </w:rPr>
              <w:t>统一社会信用代码</w:t>
            </w:r>
          </w:p>
        </w:tc>
        <w:tc>
          <w:tcPr>
            <w:tcW w:w="1278" w:type="pct"/>
            <w:tcBorders>
              <w:top w:val="single" w:color="000000" w:sz="4" w:space="0"/>
              <w:left w:val="single" w:color="000000" w:sz="4" w:space="0"/>
              <w:bottom w:val="single" w:color="000000" w:sz="4" w:space="0"/>
              <w:right w:val="single" w:color="000000" w:sz="4" w:space="0"/>
            </w:tcBorders>
            <w:noWrap w:val="0"/>
            <w:vAlign w:val="center"/>
          </w:tcPr>
          <w:p w14:paraId="31EFB8CE">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r>
              <w:rPr>
                <w:rFonts w:hint="eastAsia" w:ascii="宋体" w:hAnsi="宋体" w:eastAsia="宋体" w:cs="宋体"/>
                <w:color w:val="000000"/>
                <w:kern w:val="2"/>
                <w:sz w:val="21"/>
                <w:szCs w:val="21"/>
                <w:lang w:eastAsia="zh-CN"/>
              </w:rPr>
              <w:t>机构代码</w:t>
            </w:r>
          </w:p>
        </w:tc>
      </w:tr>
      <w:tr w14:paraId="44E8A4DC">
        <w:tblPrEx>
          <w:tblCellMar>
            <w:top w:w="0" w:type="dxa"/>
            <w:left w:w="108" w:type="dxa"/>
            <w:bottom w:w="0" w:type="dxa"/>
            <w:right w:w="108" w:type="dxa"/>
          </w:tblCellMar>
        </w:tblPrEx>
        <w:trPr>
          <w:trHeight w:val="567" w:hRule="atLeast"/>
          <w:jc w:val="center"/>
        </w:trPr>
        <w:tc>
          <w:tcPr>
            <w:tcW w:w="396" w:type="pct"/>
            <w:tcBorders>
              <w:top w:val="single" w:color="000000" w:sz="4" w:space="0"/>
              <w:left w:val="single" w:color="000000" w:sz="4" w:space="0"/>
              <w:bottom w:val="single" w:color="000000" w:sz="4" w:space="0"/>
              <w:right w:val="single" w:color="000000" w:sz="4" w:space="0"/>
            </w:tcBorders>
            <w:noWrap/>
            <w:vAlign w:val="center"/>
          </w:tcPr>
          <w:p w14:paraId="28B48323">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r>
              <w:rPr>
                <w:rFonts w:hint="eastAsia" w:ascii="宋体" w:hAnsi="宋体" w:eastAsia="宋体" w:cs="宋体"/>
                <w:color w:val="000000"/>
                <w:kern w:val="2"/>
                <w:sz w:val="21"/>
                <w:szCs w:val="21"/>
                <w:lang w:eastAsia="zh-CN"/>
              </w:rPr>
              <w:t>1</w:t>
            </w:r>
          </w:p>
        </w:tc>
        <w:tc>
          <w:tcPr>
            <w:tcW w:w="614" w:type="pct"/>
            <w:tcBorders>
              <w:top w:val="single" w:color="000000" w:sz="4" w:space="0"/>
              <w:left w:val="single" w:color="000000" w:sz="4" w:space="0"/>
              <w:bottom w:val="single" w:color="000000" w:sz="4" w:space="0"/>
              <w:right w:val="single" w:color="000000" w:sz="4" w:space="0"/>
            </w:tcBorders>
            <w:noWrap w:val="0"/>
            <w:vAlign w:val="bottom"/>
          </w:tcPr>
          <w:p w14:paraId="2A2CD56F">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c>
          <w:tcPr>
            <w:tcW w:w="614" w:type="pct"/>
            <w:tcBorders>
              <w:top w:val="single" w:color="000000" w:sz="4" w:space="0"/>
              <w:left w:val="single" w:color="000000" w:sz="4" w:space="0"/>
              <w:bottom w:val="single" w:color="000000" w:sz="4" w:space="0"/>
              <w:right w:val="single" w:color="000000" w:sz="4" w:space="0"/>
            </w:tcBorders>
            <w:noWrap w:val="0"/>
            <w:vAlign w:val="bottom"/>
          </w:tcPr>
          <w:p w14:paraId="5C6E819A">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c>
          <w:tcPr>
            <w:tcW w:w="1176" w:type="pct"/>
            <w:tcBorders>
              <w:top w:val="single" w:color="000000" w:sz="4" w:space="0"/>
              <w:left w:val="single" w:color="000000" w:sz="4" w:space="0"/>
              <w:bottom w:val="single" w:color="000000" w:sz="4" w:space="0"/>
              <w:right w:val="single" w:color="000000" w:sz="4" w:space="0"/>
            </w:tcBorders>
            <w:noWrap w:val="0"/>
            <w:vAlign w:val="bottom"/>
          </w:tcPr>
          <w:p w14:paraId="0D1650D4">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c>
          <w:tcPr>
            <w:tcW w:w="919" w:type="pct"/>
            <w:tcBorders>
              <w:top w:val="single" w:color="000000" w:sz="4" w:space="0"/>
              <w:left w:val="single" w:color="000000" w:sz="4" w:space="0"/>
              <w:bottom w:val="single" w:color="000000" w:sz="4" w:space="0"/>
              <w:right w:val="single" w:color="000000" w:sz="4" w:space="0"/>
            </w:tcBorders>
            <w:noWrap w:val="0"/>
            <w:vAlign w:val="bottom"/>
          </w:tcPr>
          <w:p w14:paraId="01A3B96B">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c>
          <w:tcPr>
            <w:tcW w:w="1278" w:type="pct"/>
            <w:tcBorders>
              <w:top w:val="single" w:color="000000" w:sz="4" w:space="0"/>
              <w:left w:val="single" w:color="000000" w:sz="4" w:space="0"/>
              <w:bottom w:val="single" w:color="000000" w:sz="4" w:space="0"/>
              <w:right w:val="single" w:color="000000" w:sz="4" w:space="0"/>
            </w:tcBorders>
            <w:noWrap w:val="0"/>
            <w:vAlign w:val="bottom"/>
          </w:tcPr>
          <w:p w14:paraId="574EEFF9">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r>
      <w:tr w14:paraId="0189FAE0">
        <w:tblPrEx>
          <w:tblCellMar>
            <w:top w:w="0" w:type="dxa"/>
            <w:left w:w="108" w:type="dxa"/>
            <w:bottom w:w="0" w:type="dxa"/>
            <w:right w:w="108" w:type="dxa"/>
          </w:tblCellMar>
        </w:tblPrEx>
        <w:trPr>
          <w:trHeight w:val="567" w:hRule="atLeast"/>
          <w:jc w:val="center"/>
        </w:trPr>
        <w:tc>
          <w:tcPr>
            <w:tcW w:w="396" w:type="pct"/>
            <w:tcBorders>
              <w:top w:val="single" w:color="000000" w:sz="4" w:space="0"/>
              <w:left w:val="single" w:color="000000" w:sz="4" w:space="0"/>
              <w:bottom w:val="single" w:color="000000" w:sz="4" w:space="0"/>
              <w:right w:val="single" w:color="000000" w:sz="4" w:space="0"/>
            </w:tcBorders>
            <w:noWrap/>
            <w:vAlign w:val="center"/>
          </w:tcPr>
          <w:p w14:paraId="67823A0C">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r>
              <w:rPr>
                <w:rFonts w:hint="eastAsia" w:ascii="宋体" w:hAnsi="宋体" w:eastAsia="宋体" w:cs="宋体"/>
                <w:color w:val="000000"/>
                <w:kern w:val="2"/>
                <w:sz w:val="21"/>
                <w:szCs w:val="21"/>
                <w:lang w:eastAsia="zh-CN"/>
              </w:rPr>
              <w:t>2</w:t>
            </w:r>
          </w:p>
        </w:tc>
        <w:tc>
          <w:tcPr>
            <w:tcW w:w="614" w:type="pct"/>
            <w:tcBorders>
              <w:top w:val="single" w:color="000000" w:sz="4" w:space="0"/>
              <w:left w:val="single" w:color="000000" w:sz="4" w:space="0"/>
              <w:bottom w:val="single" w:color="000000" w:sz="4" w:space="0"/>
              <w:right w:val="single" w:color="000000" w:sz="4" w:space="0"/>
            </w:tcBorders>
            <w:noWrap w:val="0"/>
            <w:vAlign w:val="bottom"/>
          </w:tcPr>
          <w:p w14:paraId="74E86BF5">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c>
          <w:tcPr>
            <w:tcW w:w="614" w:type="pct"/>
            <w:tcBorders>
              <w:top w:val="single" w:color="000000" w:sz="4" w:space="0"/>
              <w:left w:val="single" w:color="000000" w:sz="4" w:space="0"/>
              <w:bottom w:val="single" w:color="000000" w:sz="4" w:space="0"/>
              <w:right w:val="single" w:color="000000" w:sz="4" w:space="0"/>
            </w:tcBorders>
            <w:noWrap w:val="0"/>
            <w:vAlign w:val="bottom"/>
          </w:tcPr>
          <w:p w14:paraId="4BC6F08A">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c>
          <w:tcPr>
            <w:tcW w:w="1176" w:type="pct"/>
            <w:tcBorders>
              <w:top w:val="single" w:color="000000" w:sz="4" w:space="0"/>
              <w:left w:val="single" w:color="000000" w:sz="4" w:space="0"/>
              <w:bottom w:val="single" w:color="000000" w:sz="4" w:space="0"/>
              <w:right w:val="single" w:color="000000" w:sz="4" w:space="0"/>
            </w:tcBorders>
            <w:noWrap w:val="0"/>
            <w:vAlign w:val="bottom"/>
          </w:tcPr>
          <w:p w14:paraId="75514614">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c>
          <w:tcPr>
            <w:tcW w:w="919" w:type="pct"/>
            <w:tcBorders>
              <w:top w:val="single" w:color="000000" w:sz="4" w:space="0"/>
              <w:left w:val="single" w:color="000000" w:sz="4" w:space="0"/>
              <w:bottom w:val="single" w:color="000000" w:sz="4" w:space="0"/>
              <w:right w:val="single" w:color="000000" w:sz="4" w:space="0"/>
            </w:tcBorders>
            <w:noWrap w:val="0"/>
            <w:vAlign w:val="bottom"/>
          </w:tcPr>
          <w:p w14:paraId="35C012E6">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c>
          <w:tcPr>
            <w:tcW w:w="1278" w:type="pct"/>
            <w:tcBorders>
              <w:top w:val="single" w:color="000000" w:sz="4" w:space="0"/>
              <w:left w:val="single" w:color="000000" w:sz="4" w:space="0"/>
              <w:bottom w:val="single" w:color="000000" w:sz="4" w:space="0"/>
              <w:right w:val="single" w:color="000000" w:sz="4" w:space="0"/>
            </w:tcBorders>
            <w:noWrap w:val="0"/>
            <w:vAlign w:val="bottom"/>
          </w:tcPr>
          <w:p w14:paraId="0B5051E2">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r>
      <w:tr w14:paraId="2A0A2C3A">
        <w:tblPrEx>
          <w:tblCellMar>
            <w:top w:w="0" w:type="dxa"/>
            <w:left w:w="108" w:type="dxa"/>
            <w:bottom w:w="0" w:type="dxa"/>
            <w:right w:w="108" w:type="dxa"/>
          </w:tblCellMar>
        </w:tblPrEx>
        <w:trPr>
          <w:trHeight w:val="567" w:hRule="atLeast"/>
          <w:jc w:val="center"/>
        </w:trPr>
        <w:tc>
          <w:tcPr>
            <w:tcW w:w="396" w:type="pct"/>
            <w:tcBorders>
              <w:top w:val="single" w:color="000000" w:sz="4" w:space="0"/>
              <w:left w:val="single" w:color="000000" w:sz="4" w:space="0"/>
              <w:bottom w:val="single" w:color="000000" w:sz="4" w:space="0"/>
              <w:right w:val="single" w:color="000000" w:sz="4" w:space="0"/>
            </w:tcBorders>
            <w:noWrap/>
            <w:vAlign w:val="center"/>
          </w:tcPr>
          <w:p w14:paraId="65E8A500">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r>
              <w:rPr>
                <w:rFonts w:hint="eastAsia" w:ascii="宋体" w:hAnsi="宋体" w:eastAsia="宋体" w:cs="宋体"/>
                <w:color w:val="000000"/>
                <w:kern w:val="2"/>
                <w:sz w:val="21"/>
                <w:szCs w:val="21"/>
                <w:lang w:eastAsia="zh-CN"/>
              </w:rPr>
              <w:t>3</w:t>
            </w:r>
          </w:p>
        </w:tc>
        <w:tc>
          <w:tcPr>
            <w:tcW w:w="614" w:type="pct"/>
            <w:tcBorders>
              <w:top w:val="single" w:color="000000" w:sz="4" w:space="0"/>
              <w:left w:val="single" w:color="000000" w:sz="4" w:space="0"/>
              <w:bottom w:val="single" w:color="000000" w:sz="4" w:space="0"/>
              <w:right w:val="single" w:color="000000" w:sz="4" w:space="0"/>
            </w:tcBorders>
            <w:noWrap w:val="0"/>
            <w:vAlign w:val="bottom"/>
          </w:tcPr>
          <w:p w14:paraId="29CB87CC">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c>
          <w:tcPr>
            <w:tcW w:w="614" w:type="pct"/>
            <w:tcBorders>
              <w:top w:val="single" w:color="000000" w:sz="4" w:space="0"/>
              <w:left w:val="single" w:color="000000" w:sz="4" w:space="0"/>
              <w:bottom w:val="single" w:color="000000" w:sz="4" w:space="0"/>
              <w:right w:val="single" w:color="000000" w:sz="4" w:space="0"/>
            </w:tcBorders>
            <w:noWrap w:val="0"/>
            <w:vAlign w:val="bottom"/>
          </w:tcPr>
          <w:p w14:paraId="5C0E2F6D">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c>
          <w:tcPr>
            <w:tcW w:w="1176" w:type="pct"/>
            <w:tcBorders>
              <w:top w:val="single" w:color="000000" w:sz="4" w:space="0"/>
              <w:left w:val="single" w:color="000000" w:sz="4" w:space="0"/>
              <w:bottom w:val="single" w:color="000000" w:sz="4" w:space="0"/>
              <w:right w:val="single" w:color="000000" w:sz="4" w:space="0"/>
            </w:tcBorders>
            <w:noWrap w:val="0"/>
            <w:vAlign w:val="bottom"/>
          </w:tcPr>
          <w:p w14:paraId="6E5E495C">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c>
          <w:tcPr>
            <w:tcW w:w="919" w:type="pct"/>
            <w:tcBorders>
              <w:top w:val="single" w:color="000000" w:sz="4" w:space="0"/>
              <w:left w:val="single" w:color="000000" w:sz="4" w:space="0"/>
              <w:bottom w:val="single" w:color="000000" w:sz="4" w:space="0"/>
              <w:right w:val="single" w:color="000000" w:sz="4" w:space="0"/>
            </w:tcBorders>
            <w:noWrap w:val="0"/>
            <w:vAlign w:val="bottom"/>
          </w:tcPr>
          <w:p w14:paraId="120F4E30">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c>
          <w:tcPr>
            <w:tcW w:w="1278" w:type="pct"/>
            <w:tcBorders>
              <w:top w:val="single" w:color="000000" w:sz="4" w:space="0"/>
              <w:left w:val="single" w:color="000000" w:sz="4" w:space="0"/>
              <w:bottom w:val="single" w:color="000000" w:sz="4" w:space="0"/>
              <w:right w:val="single" w:color="000000" w:sz="4" w:space="0"/>
            </w:tcBorders>
            <w:noWrap w:val="0"/>
            <w:vAlign w:val="bottom"/>
          </w:tcPr>
          <w:p w14:paraId="5C7F1DD3">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r>
      <w:tr w14:paraId="41A71A88">
        <w:tblPrEx>
          <w:tblCellMar>
            <w:top w:w="0" w:type="dxa"/>
            <w:left w:w="108" w:type="dxa"/>
            <w:bottom w:w="0" w:type="dxa"/>
            <w:right w:w="108" w:type="dxa"/>
          </w:tblCellMar>
        </w:tblPrEx>
        <w:trPr>
          <w:trHeight w:val="567" w:hRule="atLeast"/>
          <w:jc w:val="center"/>
        </w:trPr>
        <w:tc>
          <w:tcPr>
            <w:tcW w:w="396" w:type="pct"/>
            <w:tcBorders>
              <w:top w:val="single" w:color="000000" w:sz="4" w:space="0"/>
              <w:left w:val="single" w:color="000000" w:sz="4" w:space="0"/>
              <w:bottom w:val="single" w:color="000000" w:sz="4" w:space="0"/>
              <w:right w:val="single" w:color="000000" w:sz="4" w:space="0"/>
            </w:tcBorders>
            <w:noWrap/>
            <w:vAlign w:val="center"/>
          </w:tcPr>
          <w:p w14:paraId="4E837E29">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r>
              <w:rPr>
                <w:rFonts w:hint="eastAsia" w:ascii="宋体" w:hAnsi="宋体" w:eastAsia="宋体" w:cs="宋体"/>
                <w:color w:val="000000"/>
                <w:kern w:val="2"/>
                <w:sz w:val="21"/>
                <w:szCs w:val="21"/>
                <w:lang w:eastAsia="zh-CN"/>
              </w:rPr>
              <w:t>4</w:t>
            </w:r>
          </w:p>
        </w:tc>
        <w:tc>
          <w:tcPr>
            <w:tcW w:w="614" w:type="pct"/>
            <w:tcBorders>
              <w:top w:val="single" w:color="000000" w:sz="4" w:space="0"/>
              <w:left w:val="single" w:color="000000" w:sz="4" w:space="0"/>
              <w:bottom w:val="single" w:color="000000" w:sz="4" w:space="0"/>
              <w:right w:val="single" w:color="000000" w:sz="4" w:space="0"/>
            </w:tcBorders>
            <w:noWrap w:val="0"/>
            <w:vAlign w:val="bottom"/>
          </w:tcPr>
          <w:p w14:paraId="67BAEB4F">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c>
          <w:tcPr>
            <w:tcW w:w="614" w:type="pct"/>
            <w:tcBorders>
              <w:top w:val="single" w:color="000000" w:sz="4" w:space="0"/>
              <w:left w:val="single" w:color="000000" w:sz="4" w:space="0"/>
              <w:bottom w:val="single" w:color="000000" w:sz="4" w:space="0"/>
              <w:right w:val="single" w:color="000000" w:sz="4" w:space="0"/>
            </w:tcBorders>
            <w:noWrap w:val="0"/>
            <w:vAlign w:val="bottom"/>
          </w:tcPr>
          <w:p w14:paraId="18261439">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c>
          <w:tcPr>
            <w:tcW w:w="1176" w:type="pct"/>
            <w:tcBorders>
              <w:top w:val="single" w:color="000000" w:sz="4" w:space="0"/>
              <w:left w:val="single" w:color="000000" w:sz="4" w:space="0"/>
              <w:bottom w:val="single" w:color="000000" w:sz="4" w:space="0"/>
              <w:right w:val="single" w:color="000000" w:sz="4" w:space="0"/>
            </w:tcBorders>
            <w:noWrap w:val="0"/>
            <w:vAlign w:val="bottom"/>
          </w:tcPr>
          <w:p w14:paraId="08B98031">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c>
          <w:tcPr>
            <w:tcW w:w="919" w:type="pct"/>
            <w:tcBorders>
              <w:top w:val="single" w:color="000000" w:sz="4" w:space="0"/>
              <w:left w:val="single" w:color="000000" w:sz="4" w:space="0"/>
              <w:bottom w:val="single" w:color="000000" w:sz="4" w:space="0"/>
              <w:right w:val="single" w:color="000000" w:sz="4" w:space="0"/>
            </w:tcBorders>
            <w:noWrap w:val="0"/>
            <w:vAlign w:val="bottom"/>
          </w:tcPr>
          <w:p w14:paraId="6E321B35">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c>
          <w:tcPr>
            <w:tcW w:w="1278" w:type="pct"/>
            <w:tcBorders>
              <w:top w:val="single" w:color="000000" w:sz="4" w:space="0"/>
              <w:left w:val="single" w:color="000000" w:sz="4" w:space="0"/>
              <w:bottom w:val="single" w:color="000000" w:sz="4" w:space="0"/>
              <w:right w:val="single" w:color="000000" w:sz="4" w:space="0"/>
            </w:tcBorders>
            <w:noWrap w:val="0"/>
            <w:vAlign w:val="bottom"/>
          </w:tcPr>
          <w:p w14:paraId="41538469">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r>
      <w:tr w14:paraId="3BCFA3A6">
        <w:tblPrEx>
          <w:tblCellMar>
            <w:top w:w="0" w:type="dxa"/>
            <w:left w:w="108" w:type="dxa"/>
            <w:bottom w:w="0" w:type="dxa"/>
            <w:right w:w="108" w:type="dxa"/>
          </w:tblCellMar>
        </w:tblPrEx>
        <w:trPr>
          <w:trHeight w:val="567" w:hRule="atLeast"/>
          <w:jc w:val="center"/>
        </w:trPr>
        <w:tc>
          <w:tcPr>
            <w:tcW w:w="396" w:type="pct"/>
            <w:tcBorders>
              <w:top w:val="single" w:color="000000" w:sz="4" w:space="0"/>
              <w:left w:val="single" w:color="000000" w:sz="4" w:space="0"/>
              <w:bottom w:val="single" w:color="000000" w:sz="4" w:space="0"/>
              <w:right w:val="single" w:color="000000" w:sz="4" w:space="0"/>
            </w:tcBorders>
            <w:noWrap/>
            <w:vAlign w:val="center"/>
          </w:tcPr>
          <w:p w14:paraId="52350924">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r>
              <w:rPr>
                <w:rFonts w:hint="eastAsia" w:ascii="宋体" w:hAnsi="宋体" w:eastAsia="宋体" w:cs="宋体"/>
                <w:color w:val="000000"/>
                <w:kern w:val="2"/>
                <w:sz w:val="21"/>
                <w:szCs w:val="21"/>
                <w:lang w:eastAsia="zh-CN"/>
              </w:rPr>
              <w:t>5</w:t>
            </w:r>
          </w:p>
        </w:tc>
        <w:tc>
          <w:tcPr>
            <w:tcW w:w="614" w:type="pct"/>
            <w:tcBorders>
              <w:top w:val="single" w:color="000000" w:sz="4" w:space="0"/>
              <w:left w:val="single" w:color="000000" w:sz="4" w:space="0"/>
              <w:bottom w:val="single" w:color="000000" w:sz="4" w:space="0"/>
              <w:right w:val="single" w:color="000000" w:sz="4" w:space="0"/>
            </w:tcBorders>
            <w:noWrap w:val="0"/>
            <w:vAlign w:val="bottom"/>
          </w:tcPr>
          <w:p w14:paraId="095F4CC2">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c>
          <w:tcPr>
            <w:tcW w:w="614" w:type="pct"/>
            <w:tcBorders>
              <w:top w:val="single" w:color="000000" w:sz="4" w:space="0"/>
              <w:left w:val="single" w:color="000000" w:sz="4" w:space="0"/>
              <w:bottom w:val="single" w:color="000000" w:sz="4" w:space="0"/>
              <w:right w:val="single" w:color="000000" w:sz="4" w:space="0"/>
            </w:tcBorders>
            <w:noWrap w:val="0"/>
            <w:vAlign w:val="bottom"/>
          </w:tcPr>
          <w:p w14:paraId="13B62F06">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c>
          <w:tcPr>
            <w:tcW w:w="1176" w:type="pct"/>
            <w:tcBorders>
              <w:top w:val="single" w:color="000000" w:sz="4" w:space="0"/>
              <w:left w:val="single" w:color="000000" w:sz="4" w:space="0"/>
              <w:bottom w:val="single" w:color="000000" w:sz="4" w:space="0"/>
              <w:right w:val="single" w:color="000000" w:sz="4" w:space="0"/>
            </w:tcBorders>
            <w:noWrap w:val="0"/>
            <w:vAlign w:val="bottom"/>
          </w:tcPr>
          <w:p w14:paraId="44331EC9">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c>
          <w:tcPr>
            <w:tcW w:w="919" w:type="pct"/>
            <w:tcBorders>
              <w:top w:val="single" w:color="000000" w:sz="4" w:space="0"/>
              <w:left w:val="single" w:color="000000" w:sz="4" w:space="0"/>
              <w:bottom w:val="single" w:color="000000" w:sz="4" w:space="0"/>
              <w:right w:val="single" w:color="000000" w:sz="4" w:space="0"/>
            </w:tcBorders>
            <w:noWrap w:val="0"/>
            <w:vAlign w:val="bottom"/>
          </w:tcPr>
          <w:p w14:paraId="69C32970">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c>
          <w:tcPr>
            <w:tcW w:w="1278" w:type="pct"/>
            <w:tcBorders>
              <w:top w:val="single" w:color="000000" w:sz="4" w:space="0"/>
              <w:left w:val="single" w:color="000000" w:sz="4" w:space="0"/>
              <w:bottom w:val="single" w:color="000000" w:sz="4" w:space="0"/>
              <w:right w:val="single" w:color="000000" w:sz="4" w:space="0"/>
            </w:tcBorders>
            <w:noWrap w:val="0"/>
            <w:vAlign w:val="bottom"/>
          </w:tcPr>
          <w:p w14:paraId="5EEA657C">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r>
      <w:tr w14:paraId="0E3C60D4">
        <w:tblPrEx>
          <w:tblCellMar>
            <w:top w:w="0" w:type="dxa"/>
            <w:left w:w="108" w:type="dxa"/>
            <w:bottom w:w="0" w:type="dxa"/>
            <w:right w:w="108" w:type="dxa"/>
          </w:tblCellMar>
        </w:tblPrEx>
        <w:trPr>
          <w:trHeight w:val="567" w:hRule="atLeast"/>
          <w:jc w:val="center"/>
        </w:trPr>
        <w:tc>
          <w:tcPr>
            <w:tcW w:w="396" w:type="pct"/>
            <w:tcBorders>
              <w:top w:val="single" w:color="000000" w:sz="4" w:space="0"/>
              <w:left w:val="single" w:color="000000" w:sz="4" w:space="0"/>
              <w:bottom w:val="single" w:color="000000" w:sz="4" w:space="0"/>
              <w:right w:val="single" w:color="000000" w:sz="4" w:space="0"/>
            </w:tcBorders>
            <w:noWrap/>
            <w:vAlign w:val="center"/>
          </w:tcPr>
          <w:p w14:paraId="1DDE3AAA">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r>
              <w:rPr>
                <w:rFonts w:hint="eastAsia" w:ascii="宋体" w:hAnsi="宋体" w:eastAsia="宋体" w:cs="宋体"/>
                <w:color w:val="000000"/>
                <w:kern w:val="2"/>
                <w:sz w:val="21"/>
                <w:szCs w:val="21"/>
                <w:lang w:eastAsia="zh-CN"/>
              </w:rPr>
              <w:t>6</w:t>
            </w:r>
          </w:p>
        </w:tc>
        <w:tc>
          <w:tcPr>
            <w:tcW w:w="614" w:type="pct"/>
            <w:tcBorders>
              <w:top w:val="single" w:color="000000" w:sz="4" w:space="0"/>
              <w:left w:val="single" w:color="000000" w:sz="4" w:space="0"/>
              <w:bottom w:val="single" w:color="000000" w:sz="4" w:space="0"/>
              <w:right w:val="single" w:color="000000" w:sz="4" w:space="0"/>
            </w:tcBorders>
            <w:noWrap w:val="0"/>
            <w:vAlign w:val="bottom"/>
          </w:tcPr>
          <w:p w14:paraId="09F3E5D5">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c>
          <w:tcPr>
            <w:tcW w:w="614" w:type="pct"/>
            <w:tcBorders>
              <w:top w:val="single" w:color="000000" w:sz="4" w:space="0"/>
              <w:left w:val="single" w:color="000000" w:sz="4" w:space="0"/>
              <w:bottom w:val="single" w:color="000000" w:sz="4" w:space="0"/>
              <w:right w:val="single" w:color="000000" w:sz="4" w:space="0"/>
            </w:tcBorders>
            <w:noWrap w:val="0"/>
            <w:vAlign w:val="bottom"/>
          </w:tcPr>
          <w:p w14:paraId="332F0884">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c>
          <w:tcPr>
            <w:tcW w:w="1176" w:type="pct"/>
            <w:tcBorders>
              <w:top w:val="single" w:color="000000" w:sz="4" w:space="0"/>
              <w:left w:val="single" w:color="000000" w:sz="4" w:space="0"/>
              <w:bottom w:val="single" w:color="000000" w:sz="4" w:space="0"/>
              <w:right w:val="single" w:color="000000" w:sz="4" w:space="0"/>
            </w:tcBorders>
            <w:noWrap w:val="0"/>
            <w:vAlign w:val="bottom"/>
          </w:tcPr>
          <w:p w14:paraId="7B2B30F6">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c>
          <w:tcPr>
            <w:tcW w:w="919" w:type="pct"/>
            <w:tcBorders>
              <w:top w:val="single" w:color="000000" w:sz="4" w:space="0"/>
              <w:left w:val="single" w:color="000000" w:sz="4" w:space="0"/>
              <w:bottom w:val="single" w:color="000000" w:sz="4" w:space="0"/>
              <w:right w:val="single" w:color="000000" w:sz="4" w:space="0"/>
            </w:tcBorders>
            <w:noWrap w:val="0"/>
            <w:vAlign w:val="bottom"/>
          </w:tcPr>
          <w:p w14:paraId="7B57859E">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c>
          <w:tcPr>
            <w:tcW w:w="1278" w:type="pct"/>
            <w:tcBorders>
              <w:top w:val="single" w:color="000000" w:sz="4" w:space="0"/>
              <w:left w:val="single" w:color="000000" w:sz="4" w:space="0"/>
              <w:bottom w:val="single" w:color="000000" w:sz="4" w:space="0"/>
              <w:right w:val="single" w:color="000000" w:sz="4" w:space="0"/>
            </w:tcBorders>
            <w:noWrap w:val="0"/>
            <w:vAlign w:val="bottom"/>
          </w:tcPr>
          <w:p w14:paraId="48810206">
            <w:pPr>
              <w:widowControl/>
              <w:suppressAutoHyphens/>
              <w:spacing w:after="0" w:line="240" w:lineRule="auto"/>
              <w:jc w:val="center"/>
              <w:textAlignment w:val="center"/>
              <w:rPr>
                <w:rFonts w:hint="eastAsia" w:ascii="宋体" w:hAnsi="宋体" w:eastAsia="宋体" w:cs="宋体"/>
                <w:color w:val="000000"/>
                <w:kern w:val="2"/>
                <w:sz w:val="21"/>
                <w:szCs w:val="21"/>
                <w:lang w:eastAsia="zh-CN"/>
              </w:rPr>
            </w:pPr>
          </w:p>
        </w:tc>
      </w:tr>
    </w:tbl>
    <w:p w14:paraId="6C52F240">
      <w:pPr>
        <w:pStyle w:val="9"/>
        <w:pageBreakBefore w:val="0"/>
        <w:kinsoku/>
        <w:wordWrap w:val="0"/>
        <w:topLinePunct w:val="0"/>
        <w:autoSpaceDE/>
        <w:autoSpaceDN/>
        <w:bidi w:val="0"/>
        <w:spacing w:line="580" w:lineRule="exact"/>
        <w:ind w:firstLine="0" w:firstLineChars="0"/>
        <w:jc w:val="center"/>
        <w:rPr>
          <w:rFonts w:hint="eastAsia" w:ascii="仿宋_GB2312"/>
          <w:color w:val="auto"/>
          <w:szCs w:val="32"/>
        </w:rPr>
      </w:pPr>
      <w:r>
        <w:rPr>
          <w:rFonts w:hint="eastAsia" w:ascii="仿宋_GB2312"/>
          <w:color w:val="auto"/>
          <w:szCs w:val="32"/>
          <w:lang w:val="en-US" w:eastAsia="zh-CN"/>
        </w:rPr>
        <w:t>资产评估师信息统计表</w:t>
      </w:r>
    </w:p>
    <w:p w14:paraId="1BB98F4A">
      <w:pPr>
        <w:pageBreakBefore w:val="0"/>
        <w:widowControl/>
        <w:kinsoku/>
        <w:wordWrap/>
        <w:overflowPunct/>
        <w:topLinePunct w:val="0"/>
        <w:autoSpaceDE/>
        <w:autoSpaceDN/>
        <w:bidi w:val="0"/>
        <w:adjustRightInd/>
        <w:snapToGrid/>
        <w:spacing w:after="0" w:line="580" w:lineRule="exact"/>
        <w:textAlignment w:val="auto"/>
        <w:rPr>
          <w:rFonts w:hint="eastAsia" w:ascii="仿宋_GB2312"/>
          <w:color w:val="auto"/>
          <w:sz w:val="32"/>
          <w:szCs w:val="32"/>
        </w:rPr>
      </w:pPr>
    </w:p>
    <w:p w14:paraId="13E8F181">
      <w:pPr>
        <w:pageBreakBefore w:val="0"/>
        <w:widowControl/>
        <w:kinsoku/>
        <w:wordWrap/>
        <w:overflowPunct/>
        <w:topLinePunct w:val="0"/>
        <w:autoSpaceDE/>
        <w:autoSpaceDN/>
        <w:bidi w:val="0"/>
        <w:adjustRightInd/>
        <w:snapToGrid/>
        <w:spacing w:after="0" w:line="580" w:lineRule="exact"/>
        <w:textAlignment w:val="auto"/>
        <w:rPr>
          <w:rFonts w:hint="eastAsia" w:ascii="仿宋_GB2312" w:hAnsi="仿宋_GB2312" w:eastAsia="仿宋_GB2312" w:cs="仿宋_GB2312"/>
          <w:color w:val="auto"/>
          <w:sz w:val="32"/>
          <w:szCs w:val="32"/>
        </w:rPr>
      </w:pPr>
      <w:r>
        <w:rPr>
          <w:rFonts w:hint="eastAsia" w:ascii="仿宋_GB2312"/>
          <w:color w:val="auto"/>
          <w:sz w:val="32"/>
          <w:szCs w:val="32"/>
        </w:rPr>
        <w:t>备注：评估师人数如有变更，需</w:t>
      </w:r>
      <w:r>
        <w:rPr>
          <w:rFonts w:hint="eastAsia" w:ascii="仿宋_GB2312"/>
          <w:color w:val="auto"/>
          <w:sz w:val="32"/>
          <w:szCs w:val="32"/>
          <w:lang w:val="en-US" w:eastAsia="zh-CN"/>
        </w:rPr>
        <w:t>将本机构全部执业资产评估师信息</w:t>
      </w:r>
      <w:r>
        <w:rPr>
          <w:rFonts w:hint="eastAsia" w:ascii="仿宋_GB2312"/>
          <w:color w:val="auto"/>
          <w:sz w:val="32"/>
          <w:szCs w:val="32"/>
        </w:rPr>
        <w:t>填</w:t>
      </w:r>
      <w:r>
        <w:rPr>
          <w:rFonts w:hint="eastAsia" w:ascii="仿宋_GB2312"/>
          <w:color w:val="auto"/>
          <w:sz w:val="32"/>
          <w:szCs w:val="32"/>
          <w:lang w:val="en-US" w:eastAsia="zh-CN"/>
        </w:rPr>
        <w:t>入</w:t>
      </w:r>
      <w:r>
        <w:rPr>
          <w:rFonts w:hint="eastAsia" w:ascii="仿宋_GB2312"/>
          <w:color w:val="auto"/>
          <w:sz w:val="32"/>
          <w:szCs w:val="32"/>
        </w:rPr>
        <w:t>此表。</w:t>
      </w:r>
      <w:r>
        <w:rPr>
          <w:rFonts w:hint="eastAsia" w:ascii="仿宋_GB2312" w:hAnsi="仿宋_GB2312" w:eastAsia="仿宋_GB2312" w:cs="仿宋_GB2312"/>
          <w:b w:val="0"/>
          <w:color w:val="auto"/>
          <w:sz w:val="32"/>
          <w:szCs w:val="32"/>
        </w:rPr>
        <w:t>总公司评估师人数发生变更的，仅统计总公司本部</w:t>
      </w:r>
      <w:r>
        <w:rPr>
          <w:rFonts w:hint="eastAsia" w:cs="仿宋_GB2312"/>
          <w:b w:val="0"/>
          <w:color w:val="auto"/>
          <w:sz w:val="32"/>
          <w:szCs w:val="32"/>
          <w:lang w:val="en-US" w:eastAsia="zh-CN"/>
        </w:rPr>
        <w:t>执业</w:t>
      </w:r>
      <w:r>
        <w:rPr>
          <w:rFonts w:hint="eastAsia" w:ascii="仿宋_GB2312" w:hAnsi="仿宋_GB2312" w:eastAsia="仿宋_GB2312" w:cs="仿宋_GB2312"/>
          <w:b w:val="0"/>
          <w:color w:val="auto"/>
          <w:sz w:val="32"/>
          <w:szCs w:val="32"/>
        </w:rPr>
        <w:t>资产评估师数量，不包含分支机构</w:t>
      </w:r>
      <w:r>
        <w:rPr>
          <w:rFonts w:hint="eastAsia" w:cs="仿宋_GB2312"/>
          <w:b w:val="0"/>
          <w:color w:val="auto"/>
          <w:sz w:val="32"/>
          <w:szCs w:val="32"/>
          <w:lang w:val="en-US" w:eastAsia="zh-CN"/>
        </w:rPr>
        <w:t>执业</w:t>
      </w:r>
      <w:r>
        <w:rPr>
          <w:rFonts w:hint="eastAsia" w:ascii="仿宋_GB2312" w:hAnsi="仿宋_GB2312" w:eastAsia="仿宋_GB2312" w:cs="仿宋_GB2312"/>
          <w:b w:val="0"/>
          <w:color w:val="auto"/>
          <w:sz w:val="32"/>
          <w:szCs w:val="32"/>
        </w:rPr>
        <w:t>资产评估师数量。</w:t>
      </w:r>
    </w:p>
    <w:p w14:paraId="317BD90D">
      <w:pPr>
        <w:pStyle w:val="9"/>
        <w:pageBreakBefore w:val="0"/>
        <w:kinsoku/>
        <w:wordWrap w:val="0"/>
        <w:topLinePunct w:val="0"/>
        <w:autoSpaceDE/>
        <w:autoSpaceDN/>
        <w:bidi w:val="0"/>
        <w:spacing w:line="580" w:lineRule="exact"/>
        <w:ind w:left="0" w:leftChars="0" w:firstLine="0" w:firstLineChars="0"/>
        <w:rPr>
          <w:rFonts w:hint="eastAsia" w:ascii="仿宋_GB2312"/>
          <w:color w:val="auto"/>
          <w:sz w:val="32"/>
          <w:szCs w:val="32"/>
        </w:rPr>
        <w:sectPr>
          <w:pgSz w:w="16838" w:h="11906" w:orient="landscape"/>
          <w:pgMar w:top="1417" w:right="1757" w:bottom="1417" w:left="1757" w:header="851" w:footer="1417" w:gutter="0"/>
          <w:cols w:space="0" w:num="1"/>
          <w:rtlGutter w:val="0"/>
          <w:docGrid w:linePitch="312" w:charSpace="0"/>
        </w:sectPr>
      </w:pPr>
    </w:p>
    <w:p w14:paraId="6E926284">
      <w:pPr>
        <w:keepNext w:val="0"/>
        <w:keepLines w:val="0"/>
        <w:pageBreakBefore w:val="0"/>
        <w:kinsoku/>
        <w:wordWrap/>
        <w:overflowPunct/>
        <w:topLinePunct w:val="0"/>
        <w:autoSpaceDE/>
        <w:autoSpaceDN/>
        <w:bidi w:val="0"/>
        <w:adjustRightInd/>
        <w:snapToGrid/>
        <w:spacing w:beforeAutospacing="0" w:line="58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附3</w:t>
      </w:r>
    </w:p>
    <w:p w14:paraId="09C4DB04">
      <w:pPr>
        <w:keepNext w:val="0"/>
        <w:keepLines w:val="0"/>
        <w:pageBreakBefore w:val="0"/>
        <w:kinsoku/>
        <w:wordWrap/>
        <w:overflowPunct/>
        <w:topLinePunct w:val="0"/>
        <w:autoSpaceDE/>
        <w:autoSpaceDN/>
        <w:bidi w:val="0"/>
        <w:adjustRightInd/>
        <w:snapToGrid/>
        <w:spacing w:beforeAutospacing="0" w:line="580" w:lineRule="exact"/>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退库告知书</w:t>
      </w:r>
    </w:p>
    <w:p w14:paraId="7792D522">
      <w:pPr>
        <w:pageBreakBefore w:val="0"/>
        <w:widowControl/>
        <w:kinsoku/>
        <w:wordWrap/>
        <w:overflowPunct/>
        <w:topLinePunct w:val="0"/>
        <w:autoSpaceDE/>
        <w:autoSpaceDN/>
        <w:bidi w:val="0"/>
        <w:adjustRightInd/>
        <w:snapToGrid/>
        <w:spacing w:after="0" w:line="580" w:lineRule="exact"/>
        <w:ind w:firstLine="640" w:firstLineChars="200"/>
        <w:jc w:val="right"/>
        <w:textAlignment w:val="auto"/>
        <w:rPr>
          <w:rFonts w:hint="eastAsia" w:ascii="仿宋_GB2312" w:hAnsi="仿宋_GB2312" w:eastAsia="仿宋_GB2312" w:cs="仿宋_GB2312"/>
          <w:b w:val="0"/>
          <w:color w:val="auto"/>
          <w:sz w:val="32"/>
          <w:szCs w:val="32"/>
          <w:lang w:val="en-US" w:eastAsia="zh-CN"/>
        </w:rPr>
      </w:pPr>
      <w:r>
        <w:rPr>
          <w:rFonts w:hint="eastAsia" w:ascii="仿宋_GB2312" w:hAnsi="仿宋_GB2312" w:eastAsia="仿宋_GB2312" w:cs="仿宋_GB2312"/>
          <w:b w:val="0"/>
          <w:color w:val="auto"/>
          <w:sz w:val="32"/>
          <w:szCs w:val="32"/>
        </w:rPr>
        <w:t>〔</w:t>
      </w:r>
      <w:r>
        <w:rPr>
          <w:rFonts w:hint="eastAsia" w:cs="仿宋_GB2312"/>
          <w:b w:val="0"/>
          <w:color w:val="auto"/>
          <w:sz w:val="32"/>
          <w:szCs w:val="32"/>
          <w:lang w:val="en-US" w:eastAsia="zh-CN"/>
        </w:rPr>
        <w:t>XXXX</w:t>
      </w:r>
      <w:r>
        <w:rPr>
          <w:rFonts w:hint="eastAsia" w:ascii="仿宋_GB2312" w:hAnsi="仿宋_GB2312" w:eastAsia="仿宋_GB2312" w:cs="仿宋_GB2312"/>
          <w:b w:val="0"/>
          <w:color w:val="auto"/>
          <w:sz w:val="32"/>
          <w:szCs w:val="32"/>
        </w:rPr>
        <w:t>〕鲁评协函</w:t>
      </w:r>
      <w:r>
        <w:rPr>
          <w:rFonts w:hint="eastAsia" w:cs="仿宋_GB2312"/>
          <w:b w:val="0"/>
          <w:color w:val="auto"/>
          <w:sz w:val="32"/>
          <w:szCs w:val="32"/>
          <w:lang w:val="en-US" w:eastAsia="zh-CN"/>
        </w:rPr>
        <w:t>XX</w:t>
      </w:r>
      <w:r>
        <w:rPr>
          <w:rFonts w:hint="eastAsia" w:ascii="仿宋_GB2312" w:hAnsi="仿宋_GB2312" w:eastAsia="仿宋_GB2312" w:cs="仿宋_GB2312"/>
          <w:b w:val="0"/>
          <w:color w:val="auto"/>
          <w:sz w:val="32"/>
          <w:szCs w:val="32"/>
        </w:rPr>
        <w:t>号</w:t>
      </w:r>
    </w:p>
    <w:p w14:paraId="58699868">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b w:val="0"/>
          <w:color w:val="auto"/>
          <w:sz w:val="32"/>
          <w:szCs w:val="32"/>
          <w:lang w:val="en-US" w:eastAsia="zh-CN"/>
        </w:rPr>
      </w:pPr>
    </w:p>
    <w:p w14:paraId="38EE839B">
      <w:pPr>
        <w:pageBreakBefore w:val="0"/>
        <w:widowControl/>
        <w:kinsoku/>
        <w:wordWrap/>
        <w:overflowPunct/>
        <w:topLinePunct w:val="0"/>
        <w:autoSpaceDE/>
        <w:autoSpaceDN/>
        <w:bidi w:val="0"/>
        <w:adjustRightInd/>
        <w:snapToGrid/>
        <w:spacing w:after="0" w:line="580" w:lineRule="exact"/>
        <w:textAlignment w:val="auto"/>
        <w:rPr>
          <w:rFonts w:hint="eastAsia" w:ascii="仿宋_GB2312" w:hAnsi="仿宋_GB2312" w:eastAsia="仿宋_GB2312" w:cs="仿宋_GB2312"/>
          <w:b w:val="0"/>
          <w:color w:val="auto"/>
          <w:sz w:val="32"/>
          <w:szCs w:val="32"/>
        </w:rPr>
      </w:pPr>
      <w:r>
        <w:rPr>
          <w:rFonts w:hint="eastAsia" w:ascii="仿宋_GB2312" w:hAnsi="仿宋_GB2312" w:eastAsia="仿宋_GB2312" w:cs="仿宋_GB2312"/>
          <w:b w:val="0"/>
          <w:color w:val="auto"/>
          <w:sz w:val="32"/>
          <w:szCs w:val="32"/>
          <w:lang w:val="en-US" w:eastAsia="zh-CN"/>
        </w:rPr>
        <w:t>XX</w:t>
      </w:r>
      <w:r>
        <w:rPr>
          <w:rFonts w:hint="eastAsia" w:ascii="仿宋_GB2312" w:hAnsi="仿宋_GB2312" w:eastAsia="仿宋_GB2312" w:cs="仿宋_GB2312"/>
          <w:b w:val="0"/>
          <w:color w:val="auto"/>
          <w:sz w:val="32"/>
          <w:szCs w:val="32"/>
        </w:rPr>
        <w:t>资产评估机构：</w:t>
      </w:r>
    </w:p>
    <w:p w14:paraId="294B940D">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default" w:ascii="仿宋_GB2312" w:hAnsi="仿宋_GB2312" w:eastAsia="仿宋_GB2312" w:cs="仿宋_GB2312"/>
          <w:b w:val="0"/>
          <w:color w:val="auto"/>
          <w:sz w:val="32"/>
          <w:szCs w:val="32"/>
          <w:lang w:val="en-US" w:eastAsia="zh-CN"/>
        </w:rPr>
      </w:pPr>
      <w:r>
        <w:rPr>
          <w:rFonts w:hint="eastAsia" w:ascii="仿宋_GB2312" w:hAnsi="仿宋_GB2312" w:eastAsia="仿宋_GB2312" w:cs="仿宋_GB2312"/>
          <w:b w:val="0"/>
          <w:color w:val="auto"/>
          <w:sz w:val="32"/>
          <w:szCs w:val="32"/>
        </w:rPr>
        <w:t>根据</w:t>
      </w:r>
      <w:r>
        <w:rPr>
          <w:rFonts w:hint="eastAsia" w:ascii="仿宋_GB2312" w:hAnsi="仿宋_GB2312" w:eastAsia="仿宋_GB2312" w:cs="仿宋_GB2312"/>
          <w:b w:val="0"/>
          <w:color w:val="auto"/>
          <w:sz w:val="32"/>
          <w:szCs w:val="32"/>
          <w:lang w:eastAsia="zh-CN"/>
        </w:rPr>
        <w:t>《</w:t>
      </w:r>
      <w:r>
        <w:rPr>
          <w:rFonts w:hint="eastAsia" w:ascii="仿宋_GB2312" w:hAnsi="仿宋_GB2312" w:eastAsia="仿宋_GB2312" w:cs="仿宋_GB2312"/>
          <w:b w:val="0"/>
          <w:color w:val="auto"/>
          <w:sz w:val="32"/>
          <w:szCs w:val="32"/>
        </w:rPr>
        <w:t>中评协关于做好</w:t>
      </w:r>
      <w:r>
        <w:rPr>
          <w:rFonts w:hint="eastAsia" w:ascii="仿宋_GB2312" w:hAnsi="仿宋_GB2312" w:eastAsia="仿宋_GB2312" w:cs="仿宋_GB2312"/>
          <w:b w:val="0"/>
          <w:color w:val="auto"/>
          <w:sz w:val="32"/>
          <w:szCs w:val="32"/>
          <w:lang w:val="en-US" w:eastAsia="zh-CN"/>
        </w:rPr>
        <w:t>XXXX</w:t>
      </w:r>
      <w:r>
        <w:rPr>
          <w:rFonts w:hint="eastAsia" w:ascii="仿宋_GB2312" w:hAnsi="仿宋_GB2312" w:eastAsia="仿宋_GB2312" w:cs="仿宋_GB2312"/>
          <w:b w:val="0"/>
          <w:color w:val="auto"/>
          <w:sz w:val="32"/>
          <w:szCs w:val="32"/>
        </w:rPr>
        <w:t>年人民法院涉执财产处置司法评估机构名单库出入库有关工作的通知</w:t>
      </w:r>
      <w:r>
        <w:rPr>
          <w:rFonts w:hint="eastAsia" w:ascii="仿宋_GB2312" w:hAnsi="仿宋_GB2312" w:eastAsia="仿宋_GB2312" w:cs="仿宋_GB2312"/>
          <w:b w:val="0"/>
          <w:color w:val="auto"/>
          <w:sz w:val="32"/>
          <w:szCs w:val="32"/>
          <w:lang w:eastAsia="zh-CN"/>
        </w:rPr>
        <w:t>》（</w:t>
      </w:r>
      <w:r>
        <w:rPr>
          <w:rFonts w:hint="eastAsia" w:ascii="仿宋_GB2312" w:hAnsi="仿宋_GB2312" w:eastAsia="仿宋_GB2312" w:cs="仿宋_GB2312"/>
          <w:b w:val="0"/>
          <w:color w:val="auto"/>
          <w:sz w:val="32"/>
          <w:szCs w:val="32"/>
        </w:rPr>
        <w:t>中评协办〔</w:t>
      </w:r>
      <w:r>
        <w:rPr>
          <w:rFonts w:hint="eastAsia" w:ascii="仿宋_GB2312" w:hAnsi="仿宋_GB2312" w:eastAsia="仿宋_GB2312" w:cs="仿宋_GB2312"/>
          <w:b w:val="0"/>
          <w:color w:val="auto"/>
          <w:sz w:val="32"/>
          <w:szCs w:val="32"/>
          <w:lang w:val="en-US" w:eastAsia="zh-CN"/>
        </w:rPr>
        <w:t>XXXX</w:t>
      </w:r>
      <w:r>
        <w:rPr>
          <w:rFonts w:hint="default" w:ascii="仿宋_GB2312" w:hAnsi="仿宋_GB2312" w:eastAsia="仿宋_GB2312" w:cs="仿宋_GB2312"/>
          <w:b w:val="0"/>
          <w:color w:val="auto"/>
          <w:sz w:val="32"/>
          <w:szCs w:val="32"/>
        </w:rPr>
        <w:t>〕</w:t>
      </w:r>
      <w:r>
        <w:rPr>
          <w:rFonts w:hint="eastAsia" w:ascii="仿宋_GB2312" w:hAnsi="仿宋_GB2312" w:eastAsia="仿宋_GB2312" w:cs="仿宋_GB2312"/>
          <w:b w:val="0"/>
          <w:color w:val="auto"/>
          <w:sz w:val="32"/>
          <w:szCs w:val="32"/>
          <w:lang w:val="en-US" w:eastAsia="zh-CN"/>
        </w:rPr>
        <w:t>XX</w:t>
      </w:r>
      <w:r>
        <w:rPr>
          <w:rFonts w:hint="default" w:ascii="仿宋_GB2312" w:hAnsi="仿宋_GB2312" w:eastAsia="仿宋_GB2312" w:cs="仿宋_GB2312"/>
          <w:b w:val="0"/>
          <w:color w:val="auto"/>
          <w:sz w:val="32"/>
          <w:szCs w:val="32"/>
        </w:rPr>
        <w:t>号</w:t>
      </w:r>
      <w:r>
        <w:rPr>
          <w:rFonts w:hint="eastAsia" w:ascii="仿宋_GB2312" w:hAnsi="仿宋_GB2312" w:eastAsia="仿宋_GB2312" w:cs="仿宋_GB2312"/>
          <w:b w:val="0"/>
          <w:color w:val="auto"/>
          <w:sz w:val="32"/>
          <w:szCs w:val="32"/>
          <w:lang w:eastAsia="zh-CN"/>
        </w:rPr>
        <w:t>）</w:t>
      </w:r>
      <w:r>
        <w:rPr>
          <w:rFonts w:hint="eastAsia" w:ascii="仿宋_GB2312" w:hAnsi="仿宋_GB2312" w:eastAsia="仿宋_GB2312" w:cs="仿宋_GB2312"/>
          <w:b w:val="0"/>
          <w:color w:val="auto"/>
          <w:sz w:val="32"/>
          <w:szCs w:val="32"/>
          <w:lang w:val="en-US" w:eastAsia="zh-CN"/>
        </w:rPr>
        <w:t>等的规定要求，你单位因XXXX，符合“二、</w:t>
      </w:r>
      <w:r>
        <w:rPr>
          <w:rFonts w:hint="default" w:ascii="仿宋_GB2312" w:hAnsi="仿宋_GB2312" w:eastAsia="仿宋_GB2312" w:cs="仿宋_GB2312"/>
          <w:b w:val="0"/>
          <w:color w:val="auto"/>
          <w:sz w:val="32"/>
          <w:szCs w:val="32"/>
          <w:lang w:val="en-US" w:eastAsia="zh-CN"/>
        </w:rPr>
        <w:t>予以除名的情形</w:t>
      </w:r>
      <w:r>
        <w:rPr>
          <w:rFonts w:hint="eastAsia" w:ascii="仿宋_GB2312" w:hAnsi="仿宋_GB2312" w:eastAsia="仿宋_GB2312" w:cs="仿宋_GB2312"/>
          <w:b w:val="0"/>
          <w:color w:val="auto"/>
          <w:sz w:val="32"/>
          <w:szCs w:val="32"/>
          <w:lang w:val="en-US" w:eastAsia="zh-CN"/>
        </w:rPr>
        <w:t>”第XX款</w:t>
      </w:r>
      <w:r>
        <w:rPr>
          <w:rFonts w:hint="eastAsia" w:cs="仿宋_GB2312"/>
          <w:b w:val="0"/>
          <w:color w:val="auto"/>
          <w:sz w:val="32"/>
          <w:szCs w:val="32"/>
          <w:lang w:val="en-US" w:eastAsia="zh-CN"/>
        </w:rPr>
        <w:t>“XXXX”</w:t>
      </w:r>
      <w:r>
        <w:rPr>
          <w:rFonts w:hint="eastAsia" w:ascii="仿宋_GB2312" w:hAnsi="仿宋_GB2312" w:eastAsia="仿宋_GB2312" w:cs="仿宋_GB2312"/>
          <w:b w:val="0"/>
          <w:color w:val="auto"/>
          <w:sz w:val="32"/>
          <w:szCs w:val="32"/>
          <w:lang w:val="en-US" w:eastAsia="zh-CN"/>
        </w:rPr>
        <w:t>的情形，我协会将依规上报中评协，将你单位从上述名单库中退库。退库后，你单位5年内将不得再推荐入库。</w:t>
      </w:r>
    </w:p>
    <w:p w14:paraId="778C5C72">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b w:val="0"/>
          <w:color w:val="auto"/>
          <w:sz w:val="32"/>
          <w:szCs w:val="32"/>
          <w:lang w:val="en-US" w:eastAsia="zh-CN"/>
        </w:rPr>
      </w:pPr>
    </w:p>
    <w:p w14:paraId="5E0500DC">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b w:val="0"/>
          <w:color w:val="auto"/>
          <w:sz w:val="32"/>
          <w:szCs w:val="32"/>
          <w:lang w:val="en-US" w:eastAsia="zh-CN"/>
        </w:rPr>
      </w:pPr>
    </w:p>
    <w:p w14:paraId="088245BD">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b w:val="0"/>
          <w:color w:val="auto"/>
          <w:sz w:val="32"/>
          <w:szCs w:val="32"/>
          <w:lang w:val="en-US" w:eastAsia="zh-CN"/>
        </w:rPr>
      </w:pPr>
    </w:p>
    <w:p w14:paraId="21D24A9C">
      <w:pPr>
        <w:pageBreakBefore w:val="0"/>
        <w:widowControl/>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b w:val="0"/>
          <w:color w:val="auto"/>
          <w:sz w:val="32"/>
          <w:szCs w:val="32"/>
          <w:lang w:val="en-US" w:eastAsia="zh-CN"/>
        </w:rPr>
      </w:pPr>
    </w:p>
    <w:p w14:paraId="78791EDD">
      <w:pPr>
        <w:pageBreakBefore w:val="0"/>
        <w:widowControl/>
        <w:kinsoku/>
        <w:wordWrap/>
        <w:overflowPunct/>
        <w:topLinePunct w:val="0"/>
        <w:autoSpaceDE/>
        <w:autoSpaceDN/>
        <w:bidi w:val="0"/>
        <w:adjustRightInd/>
        <w:snapToGrid/>
        <w:spacing w:after="0" w:line="580" w:lineRule="exact"/>
        <w:ind w:firstLine="640" w:firstLineChars="200"/>
        <w:jc w:val="right"/>
        <w:textAlignment w:val="auto"/>
        <w:rPr>
          <w:rFonts w:hint="default" w:ascii="仿宋_GB2312" w:hAnsi="仿宋_GB2312" w:eastAsia="仿宋_GB2312" w:cs="仿宋_GB2312"/>
          <w:b w:val="0"/>
          <w:color w:val="auto"/>
          <w:sz w:val="32"/>
          <w:szCs w:val="32"/>
          <w:lang w:val="en-US" w:eastAsia="zh-CN"/>
        </w:rPr>
      </w:pPr>
      <w:r>
        <w:rPr>
          <w:rFonts w:hint="eastAsia" w:ascii="仿宋_GB2312" w:hAnsi="仿宋_GB2312" w:eastAsia="仿宋_GB2312" w:cs="仿宋_GB2312"/>
          <w:b w:val="0"/>
          <w:color w:val="auto"/>
          <w:sz w:val="32"/>
          <w:szCs w:val="32"/>
          <w:lang w:val="en-US" w:eastAsia="zh-CN"/>
        </w:rPr>
        <w:t>山东省资产评估协会</w:t>
      </w:r>
    </w:p>
    <w:p w14:paraId="01AE32FF">
      <w:pPr>
        <w:pageBreakBefore w:val="0"/>
        <w:widowControl/>
        <w:kinsoku/>
        <w:wordWrap/>
        <w:overflowPunct/>
        <w:topLinePunct w:val="0"/>
        <w:autoSpaceDE/>
        <w:autoSpaceDN/>
        <w:bidi w:val="0"/>
        <w:adjustRightInd/>
        <w:snapToGrid/>
        <w:spacing w:after="0" w:line="580" w:lineRule="exact"/>
        <w:ind w:firstLine="640" w:firstLineChars="200"/>
        <w:jc w:val="center"/>
        <w:textAlignment w:val="auto"/>
        <w:rPr>
          <w:rFonts w:hint="eastAsia" w:ascii="仿宋_GB2312" w:hAnsi="仿宋_GB2312" w:eastAsia="仿宋_GB2312" w:cs="仿宋_GB2312"/>
          <w:b w:val="0"/>
          <w:color w:val="auto"/>
          <w:sz w:val="32"/>
          <w:szCs w:val="32"/>
          <w:lang w:val="en-US" w:eastAsia="zh-CN"/>
        </w:rPr>
      </w:pPr>
      <w:r>
        <w:rPr>
          <w:rFonts w:hint="eastAsia" w:cs="仿宋_GB2312"/>
          <w:b w:val="0"/>
          <w:color w:val="auto"/>
          <w:sz w:val="32"/>
          <w:szCs w:val="32"/>
          <w:lang w:val="en-US" w:eastAsia="zh-CN"/>
        </w:rPr>
        <w:t xml:space="preserve">                                   XXX</w:t>
      </w:r>
      <w:r>
        <w:rPr>
          <w:rFonts w:hint="eastAsia" w:ascii="仿宋_GB2312" w:hAnsi="仿宋_GB2312" w:eastAsia="仿宋_GB2312" w:cs="仿宋_GB2312"/>
          <w:b w:val="0"/>
          <w:color w:val="auto"/>
          <w:sz w:val="32"/>
          <w:szCs w:val="32"/>
          <w:lang w:val="en-US" w:eastAsia="zh-CN"/>
        </w:rPr>
        <w:t>X年X月X日</w:t>
      </w:r>
    </w:p>
    <w:p w14:paraId="46F9DE39">
      <w:pPr>
        <w:pageBreakBefore w:val="0"/>
        <w:widowControl/>
        <w:kinsoku/>
        <w:wordWrap/>
        <w:overflowPunct/>
        <w:topLinePunct w:val="0"/>
        <w:autoSpaceDE/>
        <w:autoSpaceDN/>
        <w:bidi w:val="0"/>
        <w:adjustRightInd/>
        <w:snapToGrid/>
        <w:spacing w:after="0" w:line="580" w:lineRule="exact"/>
        <w:ind w:firstLine="640" w:firstLineChars="200"/>
        <w:jc w:val="center"/>
        <w:textAlignment w:val="auto"/>
        <w:rPr>
          <w:rFonts w:hint="default" w:ascii="仿宋_GB2312" w:hAnsi="仿宋_GB2312" w:eastAsia="仿宋_GB2312" w:cs="仿宋_GB2312"/>
          <w:b w:val="0"/>
          <w:color w:val="auto"/>
          <w:sz w:val="32"/>
          <w:szCs w:val="32"/>
          <w:lang w:val="en-US" w:eastAsia="zh-CN"/>
        </w:rPr>
      </w:pPr>
      <w:r>
        <w:rPr>
          <w:rFonts w:hint="eastAsia" w:cs="仿宋_GB2312"/>
          <w:b w:val="0"/>
          <w:color w:val="auto"/>
          <w:sz w:val="32"/>
          <w:szCs w:val="32"/>
          <w:lang w:val="en-US" w:eastAsia="zh-CN"/>
        </w:rPr>
        <w:t xml:space="preserve">                                    （加盖公章）</w:t>
      </w:r>
    </w:p>
    <w:p w14:paraId="40CE8E92">
      <w:pPr>
        <w:pStyle w:val="9"/>
        <w:pageBreakBefore w:val="0"/>
        <w:kinsoku/>
        <w:wordWrap w:val="0"/>
        <w:topLinePunct w:val="0"/>
        <w:autoSpaceDE/>
        <w:autoSpaceDN/>
        <w:bidi w:val="0"/>
        <w:spacing w:line="580" w:lineRule="exact"/>
        <w:ind w:left="0" w:leftChars="0" w:firstLine="0" w:firstLineChars="0"/>
        <w:rPr>
          <w:rFonts w:hint="eastAsia" w:ascii="仿宋_GB2312"/>
          <w:color w:val="auto"/>
          <w:sz w:val="32"/>
          <w:szCs w:val="32"/>
        </w:rPr>
      </w:pPr>
    </w:p>
    <w:sectPr>
      <w:pgSz w:w="11906" w:h="16838"/>
      <w:pgMar w:top="1757" w:right="1417" w:bottom="1757" w:left="1417" w:header="851" w:footer="1417" w:gutter="0"/>
      <w:cols w:space="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4393DBB-A357-43ED-AC52-FE5A61D77BC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2C8B62F8-B845-4B63-ABF5-3720686802DA}"/>
  </w:font>
  <w:font w:name="Calibri Light">
    <w:panose1 w:val="020F0302020204030204"/>
    <w:charset w:val="00"/>
    <w:family w:val="auto"/>
    <w:pitch w:val="default"/>
    <w:sig w:usb0="E4002EFF" w:usb1="C000247B" w:usb2="00000009" w:usb3="00000000" w:csb0="200001FF" w:csb1="00000000"/>
  </w:font>
  <w:font w:name="方正小标宋简体">
    <w:panose1 w:val="02010600010101010101"/>
    <w:charset w:val="86"/>
    <w:family w:val="auto"/>
    <w:pitch w:val="default"/>
    <w:sig w:usb0="00000001" w:usb1="080E0000" w:usb2="00000000" w:usb3="00000000" w:csb0="00040000" w:csb1="00000000"/>
    <w:embedRegular r:id="rId3" w:fontKey="{A53A5F53-2BFD-455D-A594-6A8775AEB7C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C724D">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7C9D2A">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D7C9D2A">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24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3206FC"/>
    <w:rsid w:val="018C3D3E"/>
    <w:rsid w:val="02521EA0"/>
    <w:rsid w:val="027F6AB2"/>
    <w:rsid w:val="02924A37"/>
    <w:rsid w:val="04B82347"/>
    <w:rsid w:val="060519C4"/>
    <w:rsid w:val="07047ECE"/>
    <w:rsid w:val="07CA07CF"/>
    <w:rsid w:val="09993AAF"/>
    <w:rsid w:val="0A20184C"/>
    <w:rsid w:val="0B8922BF"/>
    <w:rsid w:val="0C472590"/>
    <w:rsid w:val="0D136775"/>
    <w:rsid w:val="1060794F"/>
    <w:rsid w:val="132240DD"/>
    <w:rsid w:val="14005579"/>
    <w:rsid w:val="159F742E"/>
    <w:rsid w:val="15B4144E"/>
    <w:rsid w:val="1713604E"/>
    <w:rsid w:val="1879688A"/>
    <w:rsid w:val="195A572B"/>
    <w:rsid w:val="1A393593"/>
    <w:rsid w:val="1B9C3B7F"/>
    <w:rsid w:val="1C6E7E6B"/>
    <w:rsid w:val="1CDC33EA"/>
    <w:rsid w:val="1EB342A2"/>
    <w:rsid w:val="1F152820"/>
    <w:rsid w:val="1F667ECB"/>
    <w:rsid w:val="1FA3738A"/>
    <w:rsid w:val="1FFF1A8A"/>
    <w:rsid w:val="20752A7A"/>
    <w:rsid w:val="23555288"/>
    <w:rsid w:val="24632300"/>
    <w:rsid w:val="265A320F"/>
    <w:rsid w:val="26A5092E"/>
    <w:rsid w:val="280478D6"/>
    <w:rsid w:val="285E6FE6"/>
    <w:rsid w:val="2BEE242F"/>
    <w:rsid w:val="2C576226"/>
    <w:rsid w:val="2CE43832"/>
    <w:rsid w:val="2DC54BEB"/>
    <w:rsid w:val="2EE713B8"/>
    <w:rsid w:val="30D65154"/>
    <w:rsid w:val="31450434"/>
    <w:rsid w:val="32222E32"/>
    <w:rsid w:val="322D17D7"/>
    <w:rsid w:val="34473024"/>
    <w:rsid w:val="35E6061B"/>
    <w:rsid w:val="36484E32"/>
    <w:rsid w:val="375379A8"/>
    <w:rsid w:val="37BC1633"/>
    <w:rsid w:val="3A5A656B"/>
    <w:rsid w:val="3AF70BD4"/>
    <w:rsid w:val="3B7A5A8D"/>
    <w:rsid w:val="3C5F5A13"/>
    <w:rsid w:val="3EE24ADC"/>
    <w:rsid w:val="3FBF43B6"/>
    <w:rsid w:val="41243B53"/>
    <w:rsid w:val="46A41C10"/>
    <w:rsid w:val="4BA32DDE"/>
    <w:rsid w:val="4C2537F3"/>
    <w:rsid w:val="509B0528"/>
    <w:rsid w:val="51317043"/>
    <w:rsid w:val="521A36CE"/>
    <w:rsid w:val="528C2985"/>
    <w:rsid w:val="557D1DAB"/>
    <w:rsid w:val="5A2A0665"/>
    <w:rsid w:val="5E224037"/>
    <w:rsid w:val="606A75CF"/>
    <w:rsid w:val="622A06E2"/>
    <w:rsid w:val="6401049F"/>
    <w:rsid w:val="662B7800"/>
    <w:rsid w:val="66DD4F9F"/>
    <w:rsid w:val="69163EF1"/>
    <w:rsid w:val="6A4E0AAD"/>
    <w:rsid w:val="6AF6619E"/>
    <w:rsid w:val="6B2A277C"/>
    <w:rsid w:val="6B3D24B0"/>
    <w:rsid w:val="6CCE0EE6"/>
    <w:rsid w:val="6D89482E"/>
    <w:rsid w:val="6FDD2822"/>
    <w:rsid w:val="7084648B"/>
    <w:rsid w:val="70996F58"/>
    <w:rsid w:val="70DC1E23"/>
    <w:rsid w:val="718C1A9B"/>
    <w:rsid w:val="734E4B2E"/>
    <w:rsid w:val="74055B35"/>
    <w:rsid w:val="74A24D5F"/>
    <w:rsid w:val="74F33BDF"/>
    <w:rsid w:val="75E17EDC"/>
    <w:rsid w:val="766A7ED1"/>
    <w:rsid w:val="76F51608"/>
    <w:rsid w:val="79327795"/>
    <w:rsid w:val="79E77C41"/>
    <w:rsid w:val="7A796935"/>
    <w:rsid w:val="7AA66E1F"/>
    <w:rsid w:val="7CBC51FE"/>
    <w:rsid w:val="7DAD1F85"/>
    <w:rsid w:val="7E154BC6"/>
    <w:rsid w:val="7EB268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仿宋_GB2312" w:hAnsi="仿宋_GB2312" w:eastAsia="仿宋_GB2312" w:cstheme="minorBidi"/>
      <w:sz w:val="24"/>
      <w:szCs w:val="22"/>
      <w:lang w:val="en-US" w:eastAsia="en-US" w:bidi="ar-SA"/>
    </w:rPr>
  </w:style>
  <w:style w:type="paragraph" w:styleId="2">
    <w:name w:val="heading 1"/>
    <w:basedOn w:val="1"/>
    <w:next w:val="1"/>
    <w:qFormat/>
    <w:uiPriority w:val="9"/>
    <w:pPr>
      <w:keepNext/>
      <w:keepLines/>
      <w:spacing w:before="480" w:after="0"/>
      <w:outlineLvl w:val="0"/>
    </w:pPr>
    <w:rPr>
      <w:rFonts w:asciiTheme="majorHAnsi" w:hAnsiTheme="majorHAnsi" w:eastAsiaTheme="majorEastAsia" w:cstheme="majorBidi"/>
      <w:b/>
      <w:bCs/>
      <w:color w:val="2E54A1" w:themeColor="accent1" w:themeShade="BF"/>
      <w:sz w:val="28"/>
      <w:szCs w:val="28"/>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itle"/>
    <w:basedOn w:val="1"/>
    <w:next w:val="1"/>
    <w:qFormat/>
    <w:uiPriority w:val="10"/>
    <w:pPr>
      <w:pBdr>
        <w:bottom w:val="single" w:color="4874CB" w:themeColor="accent1" w:sz="8" w:space="4"/>
      </w:pBdr>
      <w:spacing w:after="300" w:line="240" w:lineRule="auto"/>
      <w:contextualSpacing/>
    </w:pPr>
    <w:rPr>
      <w:rFonts w:asciiTheme="majorHAnsi" w:hAnsiTheme="majorHAnsi" w:eastAsiaTheme="majorEastAsia" w:cstheme="majorBidi"/>
      <w:color w:val="333F50" w:themeColor="text2" w:themeShade="BF"/>
      <w:spacing w:val="5"/>
      <w:kern w:val="28"/>
      <w:sz w:val="52"/>
      <w:szCs w:val="52"/>
    </w:rPr>
  </w:style>
  <w:style w:type="paragraph" w:customStyle="1" w:styleId="9">
    <w:name w:val="H正文"/>
    <w:qFormat/>
    <w:uiPriority w:val="0"/>
    <w:pPr>
      <w:widowControl w:val="0"/>
      <w:overflowPunct w:val="0"/>
      <w:adjustRightInd w:val="0"/>
      <w:snapToGrid w:val="0"/>
      <w:spacing w:line="560" w:lineRule="exact"/>
      <w:ind w:firstLine="200" w:firstLineChars="200"/>
      <w:jc w:val="both"/>
    </w:pPr>
    <w:rPr>
      <w:rFonts w:ascii="Calibri" w:hAnsi="Calibri" w:eastAsia="仿宋_GB2312" w:cs="Times New Roman"/>
      <w:kern w:val="2"/>
      <w:sz w:val="3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de07e831-7629-439d-bfd5-8096e6c68bdc</errorID>
      <errorWord>根据</errorWord>
      <group>L1_Word</group>
      <groupName>字词问题</groupName>
      <ability>L2_Typo</ability>
      <abilityName>字词错误</abilityName>
      <candidateList>
        <item>依据</item>
      </candidateList>
      <explain/>
      <paraID>3B166584</paraID>
      <start>9</start>
      <end>11</end>
      <status>modified</status>
      <modifiedWord>依据</modifiedWord>
      <trackRevisions>false</trackRevisions>
    </reviewItem>
    <reviewItem>
      <errorID>40563019-1c28-4281-b2d4-6e76c83adeeb</errorID>
      <errorWord>。</errorWord>
      <group>L1_Grammar</group>
      <groupName>语法问题</groupName>
      <ability>L2_Grammar</ability>
      <abilityName>语法错误</abilityName>
      <candidateList>
        <item>制定。</item>
      </candidateList>
      <explain/>
      <paraID>3B166584</paraID>
      <start>60</start>
      <end>63</end>
      <status>modified</status>
      <modifiedWord>制定。</modifiedWord>
      <trackRevisions>false</trackRevisions>
    </reviewItem>
    <reviewItem>
      <errorID>6644ada0-26ba-47b4-94d1-283958c39624</errorID>
      <errorWord>“/</errorWord>
      <group>L1_Punc</group>
      <groupName>标点问题</groupName>
      <ability>L2_Punc_CN</ability>
      <abilityName>标点符号问题</abilityName>
      <candidateList>
        <item>“</item>
      </candidateList>
      <explain/>
      <paraID>16A6482F</paraID>
      <start>24</start>
      <end>26</end>
      <status>ignored</status>
      <modifiedWord/>
      <trackRevisions>false</trackRevisions>
    </reviewItem>
    <reviewItem>
      <errorID>9c952d4e-c8a6-4a24-9745-79c73d21e484</errorID>
      <errorWord>费用的</errorWord>
      <group>L1_Word</group>
      <groupName>字词问题</groupName>
      <ability>L2_Typo</ability>
      <abilityName>字词错误</abilityName>
      <candidateList>
        <item>费用</item>
      </candidateList>
      <explain/>
      <paraID>6C16946E</paraID>
      <start>21</start>
      <end>24</end>
      <status>ignored</status>
      <modifiedWord/>
      <trackRevisions>false</trackRevisions>
    </reviewItem>
    <reviewItem>
      <errorID>4f0d9208-9f86-46e0-8089-865c4172c3f1</errorID>
      <errorWord>机构因</errorWord>
      <group>L1_Word</group>
      <groupName>字词问题</groupName>
      <ability>L2_Typo</ability>
      <abilityName>字词错误</abilityName>
      <candidateList>
        <item>机构</item>
      </candidateList>
      <explain/>
      <paraID>2E6D4198</paraID>
      <start>3</start>
      <end>6</end>
      <status>ignored</status>
      <modifiedWord/>
      <trackRevisions>false</trackRevisions>
    </reviewItem>
    <reviewItem>
      <errorID>047f6389-ab58-494a-a46f-0fde076579ff</errorID>
      <errorWord>“/</errorWord>
      <group>L1_Punc</group>
      <groupName>标点问题</groupName>
      <ability>L2_Punc_CN</ability>
      <abilityName>标点符号问题</abilityName>
      <candidateList>
        <item>“</item>
      </candidateList>
      <explain/>
      <paraID>7740D45C</paraID>
      <start>45</start>
      <end>47</end>
      <status>ignored</status>
      <modifiedWord/>
      <trackRevisions>false</trackRevisions>
    </reviewItem>
    <reviewItem>
      <errorID>c3bcc5dd-d018-4c2d-ac0a-4ad2071228d3</errorID>
      <errorWord>等的规定要求</errorWord>
      <group>L1_Grammar</group>
      <groupName>语法问题</groupName>
      <ability>L2_Grammar</ability>
      <abilityName>语法错误</abilityName>
      <candidateList>
        <item>等规定</item>
      </candidateList>
      <explain/>
      <paraID>294B940D</paraID>
      <start>60</start>
      <end>66</end>
      <status>ignored</status>
      <modifiedWord/>
      <trackRevisions>false</trackRevisions>
    </reviewItem>
    <reviewItem>
      <errorID>08778f9a-31e8-42ec-ba64-dd021cccbfe7</errorID>
      <errorWord>予以除名的情形</errorWord>
      <group>L1_Other</group>
      <groupName>其他问题</groupName>
      <ability>L2_Consistency</ability>
      <abilityName>一致性检查</abilityName>
      <candidateList>
        <item>退库情形</item>
      </candidateList>
      <explain>术语一致性：附件3中的“予以除名的情形”与正文第十七条的“退库情形”表述不一致，应统一为退库情形。</explain>
      <paraID>294B940D</paraID>
      <start>81</start>
      <end>88</end>
      <status>ignored</status>
      <modifiedWord/>
      <trackRevisions>false</trackRevisions>
    </reviewItem>
    <reviewItem>
      <errorID>078ac23b-e5f0-46d6-8a3b-f31c0d372461</errorID>
      <errorWord>”的情形</errorWord>
      <group>L1_Grammar</group>
      <groupName>语法问题</groupName>
      <ability>L2_Grammar</ability>
      <abilityName>语法错误</abilityName>
      <candidateList>
        <item>”</item>
      </candidateList>
      <explain/>
      <paraID>294B940D</paraID>
      <start>98</start>
      <end>102</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d4bd18-c391-4a5d-8fe5-ba808ff21efc}">
  <ds:schemaRefs/>
</ds:datastoreItem>
</file>

<file path=docProps/app.xml><?xml version="1.0" encoding="utf-8"?>
<Properties xmlns="http://schemas.openxmlformats.org/officeDocument/2006/extended-properties" xmlns:vt="http://schemas.openxmlformats.org/officeDocument/2006/docPropsVTypes">
  <Template>Normal.dotm</Template>
  <Pages>9</Pages>
  <Words>405</Words>
  <Characters>410</Characters>
  <Lines>0</Lines>
  <Paragraphs>0</Paragraphs>
  <TotalTime>12</TotalTime>
  <ScaleCrop>false</ScaleCrop>
  <LinksUpToDate>false</LinksUpToDate>
  <CharactersWithSpaces>414</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2026-10-14T02:08:00Z</dcterms:created>
  <dc:creator>Administrator</dc:creator>
  <cp:lastModifiedBy>史凯</cp:lastModifiedBy>
  <cp:lastPrinted>2026-10-28T01:11:32Z</cp:lastPrinted>
  <dcterms:modified xsi:type="dcterms:W3CDTF">2026-10-28T01:12:07Z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KSOTemplateDocerSaveRecord">
    <vt:lpwstr>eyJoZGlkIjoiYjFmNzE1MThhM2RlMjQ2YmFjYjg4MWIxYWVlZDI5NGEiLCJ1c2VySWQiOiIzNzU1MDAxMzMifQ==</vt:lpwstr>
  </property>
  <property fmtid="{D5CDD505-2E9C-101B-9397-08002B2CF9AE}" pid="4" name="ICV">
    <vt:lpwstr>371C1EDC8EA948878328EBA1DF13EAE6_13</vt:lpwstr>
  </property>
</Properties>
</file>